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AE3FC6" w:rsidP="00074422">
      <w:pPr>
        <w:pStyle w:val="Overskrift1"/>
      </w:pPr>
      <w:r>
        <w:t xml:space="preserve">Sikkerhetsinstruks </w:t>
      </w:r>
      <w:r w:rsidR="00C76371">
        <w:t xml:space="preserve">– </w:t>
      </w:r>
      <w:r>
        <w:t>bruker</w:t>
      </w:r>
      <w:r w:rsidR="002B2FD3">
        <w:t xml:space="preserve"> 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74422" w:rsidRPr="002C1521" w:rsidTr="00785FA9">
        <w:tc>
          <w:tcPr>
            <w:tcW w:w="9062" w:type="dxa"/>
          </w:tcPr>
          <w:p w:rsidR="00E660FF" w:rsidRDefault="002B2FD3" w:rsidP="00F177AC">
            <w:r>
              <w:t xml:space="preserve">Punktene om privat bruk og </w:t>
            </w:r>
            <w:r w:rsidR="00E660FF">
              <w:t>arbeidsgivers innsyn i e-post og filer bør vurderes konkret for virksomheten. Når innsyn er tillatt og hvordan arbeidsgiver i så fall skal gå frem</w:t>
            </w:r>
            <w:r w:rsidR="00A33A15">
              <w:t>,</w:t>
            </w:r>
            <w:r w:rsidR="00E660FF">
              <w:t xml:space="preserve"> er regulert i en egen forskrift (les mer </w:t>
            </w:r>
            <w:hyperlink r:id="rId7" w:history="1">
              <w:r w:rsidR="00E660FF" w:rsidRPr="00FF316A">
                <w:rPr>
                  <w:rStyle w:val="Hyperkobling"/>
                </w:rPr>
                <w:t>https://www.datatilsynet.no/personvern-pa-ulike-omrader/personvern-pa-arbeidsplassen/innsyn-epost-filer/</w:t>
              </w:r>
            </w:hyperlink>
            <w:r w:rsidR="00E660FF">
              <w:t xml:space="preserve">). </w:t>
            </w:r>
          </w:p>
          <w:p w:rsidR="00E660FF" w:rsidRDefault="00E660FF" w:rsidP="00F177AC"/>
          <w:p w:rsidR="000C03D7" w:rsidRPr="002C1521" w:rsidRDefault="00E660FF" w:rsidP="00F177AC">
            <w:r>
              <w:t xml:space="preserve">Instruksen må gjøres forutsigbar og konkret for brukeren. Instruksen bør gjennomgås med tillitsvalgte før den tas i bruk i virksomheten. </w:t>
            </w:r>
          </w:p>
        </w:tc>
      </w:tr>
    </w:tbl>
    <w:p w:rsidR="00074422" w:rsidRDefault="00074422" w:rsidP="00074422"/>
    <w:p w:rsidR="00E660FF" w:rsidRDefault="00E660FF" w:rsidP="00E660FF">
      <w:r>
        <w:t>Her er de viktigste reglene om IKT-sikkerhet som vi skal forholde oss til i det daglige. Mer detaljerte regler finner du i andre rutiner i internkontrollen.</w:t>
      </w:r>
    </w:p>
    <w:p w:rsidR="00E81DD2" w:rsidRPr="00E81DD2" w:rsidRDefault="00E81DD2" w:rsidP="00E660FF">
      <w:pPr>
        <w:rPr>
          <w:i/>
        </w:rPr>
      </w:pPr>
      <w:r w:rsidRPr="00E81DD2">
        <w:rPr>
          <w:i/>
        </w:rPr>
        <w:t>&lt;</w:t>
      </w:r>
      <w:r>
        <w:rPr>
          <w:i/>
        </w:rPr>
        <w:t xml:space="preserve">Nedenfor </w:t>
      </w:r>
      <w:r w:rsidRPr="00E81DD2">
        <w:rPr>
          <w:i/>
        </w:rPr>
        <w:t xml:space="preserve">beskrives klassifisering av informasjon direkte i instruksen. Det er også mulig å ta det ut </w:t>
      </w:r>
      <w:r w:rsidR="003945EF">
        <w:rPr>
          <w:i/>
        </w:rPr>
        <w:t>av dette dokumentet</w:t>
      </w:r>
      <w:r w:rsidRPr="00E81DD2">
        <w:rPr>
          <w:i/>
        </w:rPr>
        <w:t xml:space="preserve"> og</w:t>
      </w:r>
      <w:r w:rsidR="003945EF">
        <w:rPr>
          <w:i/>
        </w:rPr>
        <w:t xml:space="preserve"> i stedet</w:t>
      </w:r>
      <w:r w:rsidRPr="00E81DD2">
        <w:rPr>
          <w:i/>
        </w:rPr>
        <w:t xml:space="preserve"> </w:t>
      </w:r>
      <w:r w:rsidR="00564768">
        <w:rPr>
          <w:i/>
        </w:rPr>
        <w:t>opprette et eget dokument kalt</w:t>
      </w:r>
      <w:r w:rsidRPr="00E81DD2">
        <w:rPr>
          <w:i/>
        </w:rPr>
        <w:t xml:space="preserve"> «Informasjonshåndtering»</w:t>
      </w:r>
      <w:r w:rsidR="003945EF">
        <w:rPr>
          <w:i/>
        </w:rPr>
        <w:t>.</w:t>
      </w:r>
      <w:r w:rsidRPr="00E81DD2">
        <w:rPr>
          <w:i/>
        </w:rPr>
        <w:t>&gt;</w:t>
      </w:r>
    </w:p>
    <w:p w:rsidR="007A1B68" w:rsidRDefault="007A1B68" w:rsidP="007A1B68">
      <w:pPr>
        <w:pStyle w:val="Overskrift2"/>
      </w:pPr>
      <w:r>
        <w:t>Klassifisering av informasjon</w:t>
      </w:r>
    </w:p>
    <w:p w:rsidR="00E660FF" w:rsidRDefault="00E660FF" w:rsidP="00E660FF">
      <w:r>
        <w:t>Vi bruker her tre beskyttels</w:t>
      </w:r>
      <w:r w:rsidR="00A33A15">
        <w:t xml:space="preserve">esnivå for informasjonen – </w:t>
      </w:r>
      <w:r>
        <w:t xml:space="preserve">åpen, intern og kritisk med hensyn til konfidensialitet. </w:t>
      </w:r>
    </w:p>
    <w:p w:rsidR="00E660FF" w:rsidRDefault="00E660FF" w:rsidP="00E660FF">
      <w:pPr>
        <w:pStyle w:val="Listeavsnitt"/>
        <w:numPr>
          <w:ilvl w:val="0"/>
          <w:numId w:val="7"/>
        </w:numPr>
      </w:pPr>
      <w:r w:rsidRPr="008D6B5B">
        <w:rPr>
          <w:b/>
        </w:rPr>
        <w:t>Åpen informasjon</w:t>
      </w:r>
      <w:r>
        <w:t xml:space="preserve"> er informasjon uten beskyttelsesbehov, </w:t>
      </w:r>
      <w:r w:rsidR="00A33A15">
        <w:t xml:space="preserve">slik </w:t>
      </w:r>
      <w:r>
        <w:t>som publikasjoner, dokumenter som er vurdert som offentlige (forhåndsvurdert av arkiv, gitt innsyn i eller publisert) og presentasjoner vi har holdt.</w:t>
      </w:r>
    </w:p>
    <w:p w:rsidR="00E660FF" w:rsidRDefault="00E660FF" w:rsidP="00E660FF">
      <w:pPr>
        <w:pStyle w:val="Listeavsnitt"/>
        <w:numPr>
          <w:ilvl w:val="0"/>
          <w:numId w:val="6"/>
        </w:numPr>
      </w:pPr>
      <w:r w:rsidRPr="008D6B5B">
        <w:rPr>
          <w:b/>
        </w:rPr>
        <w:t>Kritisk informasjon</w:t>
      </w:r>
      <w:r>
        <w:t xml:space="preserve"> er alle dokument med et høyt beskyttelsesnivå mht. konfidensialitet. Dette inkluderer: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>Sensitive personopplysninger (med unntak for det lite beskyttelsesverdige)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>Opplysninger om personlige forhold hvor lekkasje kan få alvorlige konsekvenser for enkeltpersoner - som ved en arbeidslivskonflikt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 xml:space="preserve">Opplysninger om forhold hvor lekkasje kan få alvorlige konsekvenser for eksterne virksomheter eller </w:t>
      </w:r>
      <w:r w:rsidR="008F2F84" w:rsidRPr="00A33A15">
        <w:rPr>
          <w:i/>
        </w:rPr>
        <w:t>&lt;Virksomhet&gt;</w:t>
      </w:r>
      <w:r>
        <w:t xml:space="preserve"> (og hvor forholdet ikke skal være offentlig kjent)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>Opplysninger av betydning for andre virksomheters informasjonssikkerhet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 xml:space="preserve">Opplysninger av betydning for </w:t>
      </w:r>
      <w:r w:rsidR="008F2F84" w:rsidRPr="00A33A15">
        <w:rPr>
          <w:i/>
        </w:rPr>
        <w:t>&lt;Virksomhet&gt;s</w:t>
      </w:r>
      <w:r>
        <w:t xml:space="preserve"> informasjonssikkerhet</w:t>
      </w:r>
    </w:p>
    <w:p w:rsidR="00E660FF" w:rsidRDefault="00E660FF" w:rsidP="00E660FF">
      <w:pPr>
        <w:pStyle w:val="Listeavsnitt"/>
        <w:numPr>
          <w:ilvl w:val="0"/>
          <w:numId w:val="6"/>
        </w:numPr>
      </w:pPr>
      <w:r w:rsidRPr="008D6B5B">
        <w:rPr>
          <w:b/>
        </w:rPr>
        <w:t>Intern</w:t>
      </w:r>
      <w:r>
        <w:t xml:space="preserve"> </w:t>
      </w:r>
      <w:r w:rsidRPr="001B5D6F">
        <w:rPr>
          <w:b/>
        </w:rPr>
        <w:t>informasjon</w:t>
      </w:r>
      <w:r>
        <w:t xml:space="preserve"> er all annen informasjon. Dette inkluderer: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>Alle dokumenter på filområder som ikke er vurdert mht. offentlighet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>Alle dokumenter som er vurdert som ikke-offentlige (men ikke kritiske)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 xml:space="preserve">Alle dokument om interne forhold i </w:t>
      </w:r>
      <w:r w:rsidR="008F2F84" w:rsidRPr="00A33A15">
        <w:rPr>
          <w:i/>
        </w:rPr>
        <w:t>&lt;Virksomhet&gt;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>E-postkommunikasjon internt og eksternt</w:t>
      </w:r>
    </w:p>
    <w:p w:rsidR="00E660FF" w:rsidRDefault="00E660FF" w:rsidP="00A33A15">
      <w:pPr>
        <w:pStyle w:val="Listeavsnitt"/>
        <w:numPr>
          <w:ilvl w:val="1"/>
          <w:numId w:val="16"/>
        </w:numPr>
      </w:pPr>
      <w:r>
        <w:t xml:space="preserve">Notater og skriblerier (inklusive </w:t>
      </w:r>
      <w:proofErr w:type="spellStart"/>
      <w:r>
        <w:t>post-IT</w:t>
      </w:r>
      <w:proofErr w:type="spellEnd"/>
      <w:r>
        <w:t>, saksomslag etc.)</w:t>
      </w:r>
    </w:p>
    <w:p w:rsidR="00E660FF" w:rsidRDefault="00E660FF" w:rsidP="00E660FF">
      <w:pPr>
        <w:pStyle w:val="Overskrift2"/>
      </w:pPr>
      <w:bookmarkStart w:id="0" w:name="_Toc517782368"/>
      <w:r>
        <w:t>E-post</w:t>
      </w:r>
      <w:bookmarkEnd w:id="0"/>
    </w:p>
    <w:p w:rsidR="00E660FF" w:rsidRDefault="00E660FF" w:rsidP="00E660FF">
      <w:r>
        <w:t xml:space="preserve">Kritisk informasjon skal ikke sendes på e-post. </w:t>
      </w:r>
    </w:p>
    <w:p w:rsidR="00E660FF" w:rsidRDefault="00E660FF" w:rsidP="00E660FF">
      <w:pPr>
        <w:pStyle w:val="Listeavsnitt"/>
        <w:numPr>
          <w:ilvl w:val="0"/>
          <w:numId w:val="9"/>
        </w:numPr>
      </w:pPr>
      <w:r>
        <w:t xml:space="preserve">Dersom det er mottatt e-post med kritisk informasjon skal e-posten </w:t>
      </w:r>
      <w:r w:rsidR="008F2F84">
        <w:t>legges inn i saksbehandlingssystem</w:t>
      </w:r>
      <w:r w:rsidR="00564768">
        <w:t>et</w:t>
      </w:r>
      <w:r w:rsidR="008F2F84">
        <w:t>.</w:t>
      </w:r>
      <w:r>
        <w:t xml:space="preserve"> Opprinnelig melding (og eventuelle kopier av denne) skal slettes.</w:t>
      </w:r>
    </w:p>
    <w:p w:rsidR="00E660FF" w:rsidRDefault="00E660FF" w:rsidP="00E660FF">
      <w:pPr>
        <w:pStyle w:val="Listeavsnitt"/>
        <w:numPr>
          <w:ilvl w:val="0"/>
          <w:numId w:val="9"/>
        </w:numPr>
      </w:pPr>
      <w:r>
        <w:t>Sjekk at mottakeradressene er korrekt</w:t>
      </w:r>
      <w:r w:rsidR="008F2F84">
        <w:t>e</w:t>
      </w:r>
      <w:r>
        <w:t xml:space="preserve"> før e-poster sendes.</w:t>
      </w:r>
    </w:p>
    <w:p w:rsidR="00E660FF" w:rsidRDefault="00E660FF" w:rsidP="00E660FF">
      <w:pPr>
        <w:pStyle w:val="Listeavsnitt"/>
        <w:numPr>
          <w:ilvl w:val="0"/>
          <w:numId w:val="9"/>
        </w:numPr>
      </w:pPr>
      <w:r>
        <w:t xml:space="preserve">Vedlegg og lenker skal ikke åpnes dersom du ikke stoler på innholdet. Husk at e-poster konstruert for </w:t>
      </w:r>
      <w:proofErr w:type="spellStart"/>
      <w:r>
        <w:t>phishing</w:t>
      </w:r>
      <w:proofErr w:type="spellEnd"/>
      <w:r>
        <w:t xml:space="preserve"> kan se ut til å komme fra en kollega. </w:t>
      </w:r>
    </w:p>
    <w:p w:rsidR="00E660FF" w:rsidRDefault="00E660FF" w:rsidP="00E660FF">
      <w:pPr>
        <w:pStyle w:val="Listeavsnitt"/>
        <w:numPr>
          <w:ilvl w:val="0"/>
          <w:numId w:val="9"/>
        </w:numPr>
      </w:pPr>
      <w:r>
        <w:lastRenderedPageBreak/>
        <w:t>Brukeren har selv ansvar for å opprette egen mappe som er tydelig merket «privat», for lagring av privat e-post. </w:t>
      </w:r>
    </w:p>
    <w:p w:rsidR="00E660FF" w:rsidRDefault="00E660FF" w:rsidP="00E660FF">
      <w:pPr>
        <w:pStyle w:val="Overskrift2"/>
      </w:pPr>
      <w:bookmarkStart w:id="1" w:name="_Toc517782369"/>
      <w:r>
        <w:t>Internett</w:t>
      </w:r>
      <w:bookmarkEnd w:id="1"/>
    </w:p>
    <w:p w:rsidR="00E660FF" w:rsidRDefault="008F2F84" w:rsidP="00E660FF">
      <w:r w:rsidRPr="00A33A15">
        <w:rPr>
          <w:i/>
        </w:rPr>
        <w:t>&lt;Virksomhet&gt;</w:t>
      </w:r>
      <w:r>
        <w:t xml:space="preserve"> identifiseres ved all bruk av i</w:t>
      </w:r>
      <w:r w:rsidR="00E660FF">
        <w:t>nternett fra våre systemer. Ta hensyn til dette.</w:t>
      </w:r>
    </w:p>
    <w:p w:rsidR="00E660FF" w:rsidRDefault="00E660FF" w:rsidP="00E660FF">
      <w:r>
        <w:t>Internett skal brukes for virksomhetsrelaterte formål,</w:t>
      </w:r>
      <w:r w:rsidR="001B5D6F">
        <w:t xml:space="preserve"> slik</w:t>
      </w:r>
      <w:r>
        <w:t xml:space="preserve"> som i forbindelse med e-post og surfing. Det er tillatt med noe privat bruk. Eksempler på akseptabel og uakseptabel bruk:</w:t>
      </w:r>
    </w:p>
    <w:p w:rsidR="00E660FF" w:rsidRPr="00A33A15" w:rsidRDefault="00A33A15" w:rsidP="00E660FF">
      <w:pPr>
        <w:rPr>
          <w:b/>
        </w:rPr>
      </w:pPr>
      <w:r>
        <w:rPr>
          <w:b/>
        </w:rPr>
        <w:t>Akseptabel bruk</w:t>
      </w:r>
    </w:p>
    <w:p w:rsidR="00E660FF" w:rsidRPr="0079636C" w:rsidRDefault="00E660FF" w:rsidP="00E660FF">
      <w:pPr>
        <w:pStyle w:val="Listeavsnitt"/>
        <w:numPr>
          <w:ilvl w:val="0"/>
          <w:numId w:val="8"/>
        </w:numPr>
        <w:rPr>
          <w:b/>
        </w:rPr>
      </w:pPr>
      <w:r>
        <w:t>Nettaviser, nettbank, hjemmesider og informasjonssider</w:t>
      </w:r>
    </w:p>
    <w:p w:rsidR="00E660FF" w:rsidRPr="0079636C" w:rsidRDefault="00E660FF" w:rsidP="00E660FF">
      <w:pPr>
        <w:pStyle w:val="Listeavsnitt"/>
        <w:numPr>
          <w:ilvl w:val="0"/>
          <w:numId w:val="8"/>
        </w:numPr>
        <w:rPr>
          <w:b/>
        </w:rPr>
      </w:pPr>
      <w:r>
        <w:t>E-post (også nettbasert privat e-post)</w:t>
      </w:r>
    </w:p>
    <w:p w:rsidR="00E660FF" w:rsidRPr="0079636C" w:rsidRDefault="00E660FF" w:rsidP="00E660FF">
      <w:pPr>
        <w:pStyle w:val="Listeavsnitt"/>
        <w:numPr>
          <w:ilvl w:val="0"/>
          <w:numId w:val="8"/>
        </w:numPr>
        <w:rPr>
          <w:b/>
        </w:rPr>
      </w:pPr>
      <w:r>
        <w:t xml:space="preserve">Sosiale nettsteder som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og lignende</w:t>
      </w:r>
    </w:p>
    <w:p w:rsidR="00E660FF" w:rsidRPr="00A33A15" w:rsidRDefault="00A33A15" w:rsidP="00E660FF">
      <w:pPr>
        <w:rPr>
          <w:b/>
        </w:rPr>
      </w:pPr>
      <w:r>
        <w:rPr>
          <w:b/>
        </w:rPr>
        <w:t>Uakseptabel bruk</w:t>
      </w:r>
    </w:p>
    <w:p w:rsidR="00E660FF" w:rsidRPr="0079636C" w:rsidRDefault="00E660FF" w:rsidP="00E660FF">
      <w:pPr>
        <w:pStyle w:val="Listeavsnitt"/>
        <w:numPr>
          <w:ilvl w:val="0"/>
          <w:numId w:val="10"/>
        </w:numPr>
        <w:rPr>
          <w:b/>
          <w:i/>
        </w:rPr>
      </w:pPr>
      <w:r>
        <w:t xml:space="preserve">Løsninger som unødvendig belaster nettverket og hvor det ikke er tjenstlig behov </w:t>
      </w:r>
    </w:p>
    <w:p w:rsidR="00E660FF" w:rsidRPr="0079636C" w:rsidRDefault="00E660FF" w:rsidP="00E660FF">
      <w:pPr>
        <w:pStyle w:val="Listeavsnitt"/>
        <w:numPr>
          <w:ilvl w:val="0"/>
          <w:numId w:val="10"/>
        </w:numPr>
        <w:rPr>
          <w:b/>
          <w:i/>
        </w:rPr>
      </w:pPr>
      <w:r>
        <w:t>Installasjon av programvare uten avklaring med IT-ansvarlig</w:t>
      </w:r>
    </w:p>
    <w:p w:rsidR="00E660FF" w:rsidRPr="0079636C" w:rsidRDefault="00E660FF" w:rsidP="00E660FF">
      <w:pPr>
        <w:pStyle w:val="Listeavsnitt"/>
        <w:numPr>
          <w:ilvl w:val="0"/>
          <w:numId w:val="10"/>
        </w:numPr>
        <w:rPr>
          <w:b/>
          <w:i/>
        </w:rPr>
      </w:pPr>
      <w:r>
        <w:t xml:space="preserve">Oppslag på nettsteder som kan skade </w:t>
      </w:r>
      <w:r w:rsidR="008F2F84" w:rsidRPr="00A33A15">
        <w:rPr>
          <w:i/>
        </w:rPr>
        <w:t>&lt;Virksomhet&gt;s</w:t>
      </w:r>
      <w:r>
        <w:t xml:space="preserve"> omdømme eller sikkerhet. Eksempler: pornografi, gambling, og nettsteder som sprer skadevare. Ved tjenstlig behov for slike oppslag skal sikkerhetsansvarlig kontaktes på forhånd</w:t>
      </w:r>
    </w:p>
    <w:p w:rsidR="00E660FF" w:rsidRPr="0079636C" w:rsidRDefault="00E660FF" w:rsidP="00E660FF">
      <w:pPr>
        <w:pStyle w:val="Listeavsnitt"/>
        <w:numPr>
          <w:ilvl w:val="0"/>
          <w:numId w:val="10"/>
        </w:numPr>
        <w:rPr>
          <w:b/>
          <w:i/>
        </w:rPr>
      </w:pPr>
      <w:r>
        <w:t>Brudd på norsk lov og åndsverkregler</w:t>
      </w:r>
    </w:p>
    <w:p w:rsidR="00E660FF" w:rsidRPr="0079636C" w:rsidRDefault="00E660FF" w:rsidP="00E660FF">
      <w:pPr>
        <w:pStyle w:val="Listeavsnitt"/>
        <w:numPr>
          <w:ilvl w:val="0"/>
          <w:numId w:val="10"/>
        </w:numPr>
        <w:rPr>
          <w:b/>
          <w:i/>
        </w:rPr>
      </w:pPr>
      <w:r>
        <w:t xml:space="preserve">Brudd på </w:t>
      </w:r>
      <w:r w:rsidR="008F2F84" w:rsidRPr="00A33A15">
        <w:rPr>
          <w:i/>
        </w:rPr>
        <w:t>&lt;Virksomhet&gt;s</w:t>
      </w:r>
      <w:r>
        <w:t xml:space="preserve"> etiske regler </w:t>
      </w:r>
    </w:p>
    <w:p w:rsidR="00E660FF" w:rsidRDefault="00E660FF" w:rsidP="00E660FF">
      <w:pPr>
        <w:pStyle w:val="Overskrift2"/>
      </w:pPr>
      <w:bookmarkStart w:id="2" w:name="_Toc517782370"/>
      <w:r>
        <w:t>Sikkerhet på eget kontor</w:t>
      </w:r>
      <w:bookmarkEnd w:id="2"/>
    </w:p>
    <w:p w:rsidR="00E660FF" w:rsidRDefault="00E660FF" w:rsidP="00E660FF">
      <w:r>
        <w:t>Dokumenter som inneholder kritisk informasjon skal ikke ligge åpent tilgjengelig for uvedkommende.</w:t>
      </w:r>
    </w:p>
    <w:p w:rsidR="00E660FF" w:rsidRDefault="00E660FF" w:rsidP="00E660FF">
      <w:r>
        <w:t>Lagringsmedium (for eksempel minnep</w:t>
      </w:r>
      <w:r w:rsidR="003945EF">
        <w:t>i</w:t>
      </w:r>
      <w:r>
        <w:t>nner) med intern informasjon skal ikke ligge åpent tilgjengelig.</w:t>
      </w:r>
    </w:p>
    <w:p w:rsidR="00E660FF" w:rsidRDefault="00E660FF" w:rsidP="00E660FF">
      <w:r>
        <w:t>Når man forlater kontoret i løpet av arbeidsdagen skal maskinen låses umiddelbart (</w:t>
      </w:r>
      <w:proofErr w:type="spellStart"/>
      <w:r>
        <w:t>Windowstast</w:t>
      </w:r>
      <w:r w:rsidR="00564768">
        <w:t>en</w:t>
      </w:r>
      <w:proofErr w:type="spellEnd"/>
      <w:r>
        <w:t xml:space="preserve"> + L).</w:t>
      </w:r>
    </w:p>
    <w:p w:rsidR="00E660FF" w:rsidRDefault="00E660FF" w:rsidP="00E660FF">
      <w:r>
        <w:t xml:space="preserve">Ditt personlige passord til </w:t>
      </w:r>
      <w:r w:rsidR="008F2F84" w:rsidRPr="00A33A15">
        <w:rPr>
          <w:i/>
        </w:rPr>
        <w:t>&lt;Virksomhet&gt;</w:t>
      </w:r>
      <w:r>
        <w:t xml:space="preserve"> skal ikke skrives ned eller oppgis til andre. Bruk et eget passord til din brukerkonto i </w:t>
      </w:r>
      <w:r w:rsidR="008F2F84" w:rsidRPr="00A33A15">
        <w:rPr>
          <w:i/>
        </w:rPr>
        <w:t>&lt;Virksomhet&gt;</w:t>
      </w:r>
      <w:r>
        <w:t xml:space="preserve">, og ikke det samme passordet som du bruker på tjenester utenfor </w:t>
      </w:r>
      <w:r w:rsidR="008F2F84" w:rsidRPr="00A33A15">
        <w:rPr>
          <w:i/>
        </w:rPr>
        <w:t>&lt;Virksomhet&gt;</w:t>
      </w:r>
      <w:r>
        <w:t xml:space="preserve"> (for eksempel </w:t>
      </w:r>
      <w:r w:rsidR="00564768">
        <w:t xml:space="preserve">på </w:t>
      </w:r>
      <w:r>
        <w:t>p</w:t>
      </w:r>
      <w:r w:rsidR="00564768">
        <w:t>rivat e-post eller sosiale medier</w:t>
      </w:r>
      <w:r>
        <w:t>).</w:t>
      </w:r>
      <w:r w:rsidR="007A1B68">
        <w:t xml:space="preserve"> Passordråd finnes her: </w:t>
      </w:r>
      <w:hyperlink r:id="rId8" w:history="1">
        <w:r w:rsidR="007A1B68" w:rsidRPr="00FF316A">
          <w:rPr>
            <w:rStyle w:val="Hyperkobling"/>
          </w:rPr>
          <w:t>https://nettvett.no/passord/</w:t>
        </w:r>
      </w:hyperlink>
      <w:r w:rsidR="007A1B68">
        <w:t xml:space="preserve"> </w:t>
      </w:r>
    </w:p>
    <w:p w:rsidR="00E660FF" w:rsidRDefault="00E660FF" w:rsidP="00E660FF">
      <w:r>
        <w:t>Passord skal skiftes straks bruker er kjent med, eller har mistanke om at andre har skaffet seg kunnskap om passordet.</w:t>
      </w:r>
    </w:p>
    <w:p w:rsidR="00E660FF" w:rsidRDefault="00E660FF" w:rsidP="00E660FF">
      <w:r>
        <w:t>Kontordøren skal låses når kontoret ikke benyttes (ferie, kurs, når man går for dagen).</w:t>
      </w:r>
    </w:p>
    <w:p w:rsidR="00E660FF" w:rsidRDefault="00E660FF" w:rsidP="00E660FF">
      <w:pPr>
        <w:pStyle w:val="Overskrift2"/>
      </w:pPr>
      <w:bookmarkStart w:id="3" w:name="_Toc517782371"/>
      <w:r>
        <w:t>Lagring og sikkerhetskopiering</w:t>
      </w:r>
      <w:bookmarkEnd w:id="3"/>
    </w:p>
    <w:p w:rsidR="00E660FF" w:rsidRDefault="00E660FF" w:rsidP="00E660FF">
      <w:r>
        <w:t xml:space="preserve">Saksbehandling skal foregå i </w:t>
      </w:r>
      <w:r w:rsidR="008F2F84">
        <w:t>saksbehandlingssystem</w:t>
      </w:r>
      <w:r w:rsidR="00A33A15">
        <w:t>et</w:t>
      </w:r>
      <w:r>
        <w:t>. Her er det varig sikring av integritet og tilgjengelighet (sikkerhetskopiering).</w:t>
      </w:r>
    </w:p>
    <w:p w:rsidR="00E660FF" w:rsidRDefault="00E660FF" w:rsidP="00E660FF">
      <w:r>
        <w:t>Andre dokumenter skal som hovedregel lagres på hjemmeområder og fellesområde</w:t>
      </w:r>
      <w:r w:rsidR="008F2F84">
        <w:t>r. Filer</w:t>
      </w:r>
      <w:r w:rsidR="00A33A15">
        <w:t xml:space="preserve"> som er</w:t>
      </w:r>
      <w:r w:rsidR="008F2F84">
        <w:t xml:space="preserve"> lagret der </w:t>
      </w:r>
      <w:proofErr w:type="spellStart"/>
      <w:r>
        <w:t>blir</w:t>
      </w:r>
      <w:r w:rsidR="008F2F84">
        <w:t xml:space="preserve"> </w:t>
      </w:r>
      <w:r>
        <w:t>automatisk</w:t>
      </w:r>
      <w:proofErr w:type="spellEnd"/>
      <w:r>
        <w:t xml:space="preserve"> sikkerhetskopiert flere ganger daglig.</w:t>
      </w:r>
    </w:p>
    <w:p w:rsidR="00E660FF" w:rsidRDefault="00E660FF" w:rsidP="00E660FF">
      <w:r>
        <w:t>Brukeren har selv ansvar for å opprette egen mappe som er tydelig merket «privat», for lagring av personlige dokumenter.</w:t>
      </w:r>
    </w:p>
    <w:p w:rsidR="00E660FF" w:rsidRPr="007A237D" w:rsidRDefault="00E660FF" w:rsidP="00E660FF">
      <w:pPr>
        <w:pStyle w:val="Overskrift2"/>
      </w:pPr>
      <w:bookmarkStart w:id="4" w:name="_Toc517782372"/>
      <w:r w:rsidRPr="007A237D">
        <w:lastRenderedPageBreak/>
        <w:t>Utskrift, kopiering og makulering</w:t>
      </w:r>
      <w:bookmarkEnd w:id="4"/>
    </w:p>
    <w:p w:rsidR="001508F2" w:rsidRPr="001508F2" w:rsidRDefault="00A33A15" w:rsidP="00E660FF">
      <w:pPr>
        <w:rPr>
          <w:i/>
        </w:rPr>
      </w:pPr>
      <w:r>
        <w:rPr>
          <w:i/>
        </w:rPr>
        <w:t>&lt;Beskriv</w:t>
      </w:r>
      <w:r w:rsidR="001508F2" w:rsidRPr="001508F2">
        <w:rPr>
          <w:i/>
        </w:rPr>
        <w:t xml:space="preserve"> rutiner for utskrift, for eksempel om virksomheten </w:t>
      </w:r>
      <w:r w:rsidR="00E660FF" w:rsidRPr="001508F2">
        <w:rPr>
          <w:i/>
        </w:rPr>
        <w:t>benytter et felles utskriftssystem.</w:t>
      </w:r>
      <w:r w:rsidR="001508F2" w:rsidRPr="001508F2">
        <w:rPr>
          <w:i/>
        </w:rPr>
        <w:t xml:space="preserve"> Om</w:t>
      </w:r>
      <w:r w:rsidR="00E660FF" w:rsidRPr="001508F2">
        <w:rPr>
          <w:i/>
        </w:rPr>
        <w:t xml:space="preserve"> </w:t>
      </w:r>
      <w:r w:rsidR="001508F2" w:rsidRPr="001508F2">
        <w:rPr>
          <w:i/>
        </w:rPr>
        <w:t>s</w:t>
      </w:r>
      <w:r w:rsidR="00E660FF" w:rsidRPr="001508F2">
        <w:rPr>
          <w:i/>
        </w:rPr>
        <w:t>ystem</w:t>
      </w:r>
      <w:r w:rsidR="001508F2" w:rsidRPr="001508F2">
        <w:rPr>
          <w:i/>
        </w:rPr>
        <w:t>et</w:t>
      </w:r>
      <w:r w:rsidR="00E660FF" w:rsidRPr="001508F2">
        <w:rPr>
          <w:i/>
        </w:rPr>
        <w:t xml:space="preserve"> har en «</w:t>
      </w:r>
      <w:proofErr w:type="spellStart"/>
      <w:r w:rsidR="00E660FF" w:rsidRPr="001508F2">
        <w:rPr>
          <w:i/>
        </w:rPr>
        <w:t>follow</w:t>
      </w:r>
      <w:proofErr w:type="spellEnd"/>
      <w:r w:rsidR="00E660FF" w:rsidRPr="001508F2">
        <w:rPr>
          <w:i/>
        </w:rPr>
        <w:t xml:space="preserve"> </w:t>
      </w:r>
      <w:proofErr w:type="spellStart"/>
      <w:r w:rsidR="00E660FF" w:rsidRPr="001508F2">
        <w:rPr>
          <w:i/>
        </w:rPr>
        <w:t>me</w:t>
      </w:r>
      <w:proofErr w:type="spellEnd"/>
      <w:r w:rsidR="00E660FF" w:rsidRPr="001508F2">
        <w:rPr>
          <w:i/>
        </w:rPr>
        <w:t xml:space="preserve">»-løsning, hvor brukere må identifisere seg med </w:t>
      </w:r>
      <w:r w:rsidR="00D439B3" w:rsidRPr="001508F2">
        <w:rPr>
          <w:i/>
        </w:rPr>
        <w:t xml:space="preserve">kort, </w:t>
      </w:r>
      <w:r w:rsidR="00E660FF" w:rsidRPr="001508F2">
        <w:rPr>
          <w:i/>
        </w:rPr>
        <w:t>nøkkelbrikke eller brukernavn/passord ved hver utskrift.</w:t>
      </w:r>
      <w:r w:rsidR="001508F2" w:rsidRPr="001508F2">
        <w:rPr>
          <w:i/>
        </w:rPr>
        <w:t>&gt;</w:t>
      </w:r>
      <w:r w:rsidR="00E660FF" w:rsidRPr="001508F2">
        <w:rPr>
          <w:i/>
        </w:rPr>
        <w:t xml:space="preserve"> </w:t>
      </w:r>
    </w:p>
    <w:p w:rsidR="00E660FF" w:rsidRPr="007A237D" w:rsidRDefault="00E660FF" w:rsidP="00E660FF">
      <w:r w:rsidRPr="007A237D">
        <w:t xml:space="preserve">Dokumenter må ikke bli liggende på kopimaskin/skriver. </w:t>
      </w:r>
    </w:p>
    <w:p w:rsidR="00E660FF" w:rsidRPr="007A237D" w:rsidRDefault="00E660FF" w:rsidP="00E660FF">
      <w:r w:rsidRPr="007A237D">
        <w:t>Dokumenter eller notater skal ikke kastes i vanlig søppelkasse. Bruk låst kontainer for sikkerhetsmakulering til alle andre dokumenter enn publikasjoner.</w:t>
      </w:r>
    </w:p>
    <w:p w:rsidR="00E660FF" w:rsidRPr="007A237D" w:rsidRDefault="00E660FF" w:rsidP="00E660FF">
      <w:r w:rsidRPr="007A237D">
        <w:t>CD</w:t>
      </w:r>
      <w:r w:rsidR="000D184B">
        <w:t>-</w:t>
      </w:r>
      <w:r w:rsidRPr="007A237D">
        <w:t>er, minnepinner etc. skal leve</w:t>
      </w:r>
      <w:r w:rsidR="000D184B">
        <w:t>res til sikkerhetsansvarlig. CD-</w:t>
      </w:r>
      <w:r w:rsidRPr="007A237D">
        <w:t>er som sidestilles med publikasjoner kan kastes.</w:t>
      </w:r>
    </w:p>
    <w:p w:rsidR="00E660FF" w:rsidRPr="00E81DD2" w:rsidRDefault="00E660FF" w:rsidP="00E660FF">
      <w:bookmarkStart w:id="5" w:name="_Toc517782374"/>
      <w:r w:rsidRPr="00E81DD2">
        <w:rPr>
          <w:rStyle w:val="Overskrift2Tegn"/>
        </w:rPr>
        <w:t>Rutiner ved besøk og servicepersonell</w:t>
      </w:r>
      <w:bookmarkEnd w:id="5"/>
      <w:r w:rsidRPr="00E81DD2">
        <w:t xml:space="preserve"> </w:t>
      </w:r>
      <w:r w:rsidR="003945EF">
        <w:br/>
      </w:r>
      <w:r w:rsidRPr="00E81DD2">
        <w:t xml:space="preserve">Alle besøkende skal hentes av den det er avtalt møte med. </w:t>
      </w:r>
    </w:p>
    <w:p w:rsidR="00E660FF" w:rsidRPr="00E81DD2" w:rsidRDefault="00E660FF" w:rsidP="00E660FF">
      <w:r w:rsidRPr="00E81DD2">
        <w:t>Besøkende skal som en hovedregel følges. Tiltrodde besøkende som kan ferdes på egen hånd</w:t>
      </w:r>
      <w:r w:rsidR="00A33A15">
        <w:t>,</w:t>
      </w:r>
      <w:r w:rsidRPr="00E81DD2">
        <w:t xml:space="preserve"> skal utstyres med besøkskort som bæres synlig (som servicepersonell i enkelte tilfeller). Se egen rutine for dette.</w:t>
      </w:r>
    </w:p>
    <w:p w:rsidR="00E660FF" w:rsidRPr="00E81DD2" w:rsidRDefault="00E660FF" w:rsidP="00E660FF">
      <w:r w:rsidRPr="00E81DD2">
        <w:t>Ved arrangement med mange besøkende skal arrangementsansvarlig følge egen rutine for sikker gjennomføring.</w:t>
      </w:r>
    </w:p>
    <w:p w:rsidR="00E660FF" w:rsidRPr="00E81DD2" w:rsidRDefault="00E660FF" w:rsidP="00E660FF">
      <w:pPr>
        <w:pStyle w:val="Overskrift2"/>
      </w:pPr>
      <w:bookmarkStart w:id="6" w:name="_Toc517782375"/>
      <w:r w:rsidRPr="00E81DD2">
        <w:t xml:space="preserve">Rutine for låsing og aktivering av alarm </w:t>
      </w:r>
      <w:bookmarkEnd w:id="6"/>
    </w:p>
    <w:p w:rsidR="00E81DD2" w:rsidRPr="00E81DD2" w:rsidRDefault="00A33A15" w:rsidP="00E81DD2">
      <w:pPr>
        <w:rPr>
          <w:i/>
        </w:rPr>
      </w:pPr>
      <w:r>
        <w:rPr>
          <w:i/>
        </w:rPr>
        <w:t xml:space="preserve">&lt;Fyll ut </w:t>
      </w:r>
      <w:r w:rsidR="00E81DD2" w:rsidRPr="00E81DD2">
        <w:rPr>
          <w:i/>
        </w:rPr>
        <w:t>hva som er rutiner for låsing og aktivering av alarm, samt sjekkliste for den siste som forlater arbeidsplassen ved endt arbeidsdag.&gt;</w:t>
      </w:r>
      <w:bookmarkStart w:id="7" w:name="_Toc517782376"/>
    </w:p>
    <w:p w:rsidR="00E660FF" w:rsidRDefault="00E660FF" w:rsidP="00E660FF">
      <w:pPr>
        <w:pStyle w:val="Overskrift2"/>
      </w:pPr>
      <w:r>
        <w:t>Fjerntilgang</w:t>
      </w:r>
      <w:bookmarkEnd w:id="7"/>
    </w:p>
    <w:p w:rsidR="00E660FF" w:rsidRPr="001508F2" w:rsidRDefault="00A33A15" w:rsidP="00E660FF">
      <w:pPr>
        <w:rPr>
          <w:i/>
        </w:rPr>
      </w:pPr>
      <w:r>
        <w:rPr>
          <w:i/>
        </w:rPr>
        <w:t xml:space="preserve">&lt;Beskriv </w:t>
      </w:r>
      <w:r w:rsidR="001508F2" w:rsidRPr="001508F2">
        <w:rPr>
          <w:i/>
        </w:rPr>
        <w:t>om virksomheten</w:t>
      </w:r>
      <w:r w:rsidR="00E660FF" w:rsidRPr="001508F2">
        <w:rPr>
          <w:i/>
        </w:rPr>
        <w:t xml:space="preserve"> har lagt til rette for at ansatte kan få tilgang til interne systemer og ressurser. </w:t>
      </w:r>
      <w:r w:rsidR="001508F2" w:rsidRPr="001508F2">
        <w:rPr>
          <w:i/>
        </w:rPr>
        <w:t xml:space="preserve">Om det </w:t>
      </w:r>
      <w:r w:rsidR="00E660FF" w:rsidRPr="001508F2">
        <w:rPr>
          <w:i/>
        </w:rPr>
        <w:t>gjøres via en kryptert VPN-løsning</w:t>
      </w:r>
      <w:r w:rsidR="001508F2" w:rsidRPr="001508F2">
        <w:rPr>
          <w:i/>
        </w:rPr>
        <w:t>, om l</w:t>
      </w:r>
      <w:r w:rsidR="00E660FF" w:rsidRPr="001508F2">
        <w:rPr>
          <w:i/>
        </w:rPr>
        <w:t xml:space="preserve">øsningen benytter </w:t>
      </w:r>
      <w:proofErr w:type="spellStart"/>
      <w:r w:rsidR="00E660FF" w:rsidRPr="001508F2">
        <w:rPr>
          <w:i/>
        </w:rPr>
        <w:t>tofaktor</w:t>
      </w:r>
      <w:proofErr w:type="spellEnd"/>
      <w:r w:rsidR="00E660FF" w:rsidRPr="001508F2">
        <w:rPr>
          <w:i/>
        </w:rPr>
        <w:t xml:space="preserve">-autentisering (den ansattes passord og engangskode), og </w:t>
      </w:r>
      <w:r w:rsidR="001508F2" w:rsidRPr="001508F2">
        <w:rPr>
          <w:i/>
        </w:rPr>
        <w:t xml:space="preserve">om det </w:t>
      </w:r>
      <w:r w:rsidR="00E660FF" w:rsidRPr="001508F2">
        <w:rPr>
          <w:i/>
        </w:rPr>
        <w:t>kun</w:t>
      </w:r>
      <w:r w:rsidR="001508F2" w:rsidRPr="001508F2">
        <w:rPr>
          <w:i/>
        </w:rPr>
        <w:t xml:space="preserve"> kan</w:t>
      </w:r>
      <w:r w:rsidR="00E660FF" w:rsidRPr="001508F2">
        <w:rPr>
          <w:i/>
        </w:rPr>
        <w:t xml:space="preserve"> benyttes fra </w:t>
      </w:r>
      <w:r w:rsidR="00D439B3" w:rsidRPr="001508F2">
        <w:rPr>
          <w:i/>
        </w:rPr>
        <w:t>&lt;Virksomhet&gt;s</w:t>
      </w:r>
      <w:r w:rsidR="00E660FF" w:rsidRPr="001508F2">
        <w:rPr>
          <w:i/>
        </w:rPr>
        <w:t xml:space="preserve"> bærbare PC-er.</w:t>
      </w:r>
      <w:r w:rsidR="001508F2" w:rsidRPr="001508F2">
        <w:rPr>
          <w:i/>
        </w:rPr>
        <w:t>&gt;</w:t>
      </w:r>
    </w:p>
    <w:p w:rsidR="00E660FF" w:rsidRDefault="00E660FF" w:rsidP="00E660FF">
      <w:pPr>
        <w:pStyle w:val="Overskrift2"/>
      </w:pPr>
      <w:bookmarkStart w:id="8" w:name="_Toc517782377"/>
      <w:r w:rsidRPr="00DA17D0">
        <w:t>Bruk av mobiltelefoner og nettbrett</w:t>
      </w:r>
      <w:bookmarkEnd w:id="8"/>
    </w:p>
    <w:p w:rsidR="00564768" w:rsidRDefault="00D439B3" w:rsidP="00E660FF">
      <w:pPr>
        <w:rPr>
          <w:i/>
        </w:rPr>
      </w:pPr>
      <w:r w:rsidRPr="00A33A15">
        <w:rPr>
          <w:i/>
        </w:rPr>
        <w:t>&lt;Virksomhet&gt;</w:t>
      </w:r>
      <w:r w:rsidR="00E660FF">
        <w:t xml:space="preserve"> gir de ansatte mulighet for tilgang til e-post og kalender på mobiltelefon og nettbrett. Dette gjelder også på enheter som eies av den ansatte</w:t>
      </w:r>
      <w:r w:rsidR="00E660FF" w:rsidRPr="001508F2">
        <w:rPr>
          <w:i/>
        </w:rPr>
        <w:t xml:space="preserve">. </w:t>
      </w:r>
    </w:p>
    <w:p w:rsidR="00E660FF" w:rsidRDefault="00A33A15" w:rsidP="00E660FF">
      <w:bookmarkStart w:id="9" w:name="_GoBack"/>
      <w:bookmarkEnd w:id="9"/>
      <w:r>
        <w:rPr>
          <w:i/>
        </w:rPr>
        <w:t xml:space="preserve">&lt;Beskriv </w:t>
      </w:r>
      <w:r w:rsidR="007A1B68" w:rsidRPr="001508F2">
        <w:rPr>
          <w:i/>
        </w:rPr>
        <w:t xml:space="preserve">om det benyttes for eksempel </w:t>
      </w:r>
      <w:r w:rsidR="00E660FF" w:rsidRPr="001508F2">
        <w:rPr>
          <w:i/>
        </w:rPr>
        <w:t xml:space="preserve">et Mobile Device Management-system (MDM-system) for å sikre </w:t>
      </w:r>
      <w:r w:rsidR="00D439B3" w:rsidRPr="001508F2">
        <w:rPr>
          <w:i/>
        </w:rPr>
        <w:t>&lt;Virksomhet&gt;</w:t>
      </w:r>
      <w:r w:rsidR="00E660FF" w:rsidRPr="001508F2">
        <w:rPr>
          <w:i/>
        </w:rPr>
        <w:t xml:space="preserve"> nødvendig konfigurasjonskontroll av enhetene.</w:t>
      </w:r>
      <w:r w:rsidR="001508F2" w:rsidRPr="001508F2">
        <w:rPr>
          <w:i/>
        </w:rPr>
        <w:t>&gt;</w:t>
      </w:r>
      <w:r w:rsidR="00E660FF" w:rsidRPr="001508F2">
        <w:rPr>
          <w:i/>
        </w:rPr>
        <w:t xml:space="preserve"> </w:t>
      </w:r>
    </w:p>
    <w:p w:rsidR="00E660FF" w:rsidRDefault="00E660FF" w:rsidP="00E660FF">
      <w:r>
        <w:t xml:space="preserve">Mobiltelefoner og nettbrett skal ikke på annen måte kobles til </w:t>
      </w:r>
      <w:r w:rsidR="00D439B3" w:rsidRPr="00A33A15">
        <w:rPr>
          <w:i/>
        </w:rPr>
        <w:t>&lt;Virksomhet&gt;s</w:t>
      </w:r>
      <w:r>
        <w:t xml:space="preserve"> informasjonssystem eller den ansattes arbeidsstasjon </w:t>
      </w:r>
      <w:r w:rsidRPr="0074545A">
        <w:t>(for eksempel for synkronisering</w:t>
      </w:r>
      <w:r>
        <w:t xml:space="preserve"> av e-post/kalender, o</w:t>
      </w:r>
      <w:r w:rsidR="001B5D6F">
        <w:t>ppdatering av programvare over i</w:t>
      </w:r>
      <w:r>
        <w:t xml:space="preserve">nternett, </w:t>
      </w:r>
      <w:proofErr w:type="spellStart"/>
      <w:r>
        <w:t>nedlasting</w:t>
      </w:r>
      <w:proofErr w:type="spellEnd"/>
      <w:r>
        <w:t xml:space="preserve"> av musikk). Ved eventuell </w:t>
      </w:r>
      <w:proofErr w:type="spellStart"/>
      <w:r>
        <w:t>lading</w:t>
      </w:r>
      <w:proofErr w:type="spellEnd"/>
      <w:r>
        <w:t xml:space="preserve"> av mobiltelefon via </w:t>
      </w:r>
      <w:r w:rsidR="00D439B3">
        <w:t>PC</w:t>
      </w:r>
      <w:r w:rsidR="001B5D6F">
        <w:t xml:space="preserve">, </w:t>
      </w:r>
      <w:r>
        <w:t xml:space="preserve">skal den ansatte sperre for filoverføring, enten ved bruk av </w:t>
      </w:r>
      <w:r w:rsidR="000D184B">
        <w:t>USB</w:t>
      </w:r>
      <w:r>
        <w:t xml:space="preserve">-strømpe eller ved å velge «kun </w:t>
      </w:r>
      <w:proofErr w:type="spellStart"/>
      <w:r>
        <w:t>lading</w:t>
      </w:r>
      <w:proofErr w:type="spellEnd"/>
      <w:r>
        <w:t xml:space="preserve">» på mobiltelefonen. </w:t>
      </w:r>
    </w:p>
    <w:p w:rsidR="00E660FF" w:rsidRDefault="00E660FF" w:rsidP="00E660FF">
      <w:r>
        <w:t>Mister man mobiltelefon</w:t>
      </w:r>
      <w:r w:rsidR="001B5D6F">
        <w:t>en sin</w:t>
      </w:r>
      <w:r>
        <w:t xml:space="preserve"> eller på annen måte mistenker at andre har tilgang til informasjon på mobilen (som SMS</w:t>
      </w:r>
      <w:r w:rsidR="000D184B">
        <w:t>-</w:t>
      </w:r>
      <w:r>
        <w:t>er), skal man straks si ifra til sikkerhetsansvarlig. Dette gjelder også hvis man mistenker at brukernavn og passord er kommet på avveier, eller at man bare ønsker å være på den sikre siden.</w:t>
      </w:r>
    </w:p>
    <w:p w:rsidR="00E660FF" w:rsidRDefault="00E660FF" w:rsidP="00E660FF">
      <w:pPr>
        <w:pStyle w:val="Overskrift2"/>
      </w:pPr>
      <w:bookmarkStart w:id="10" w:name="_Toc517782378"/>
      <w:r w:rsidRPr="00DA17D0">
        <w:lastRenderedPageBreak/>
        <w:t>Kommunikas</w:t>
      </w:r>
      <w:r>
        <w:t>jon og deling av filer eksternt</w:t>
      </w:r>
      <w:bookmarkEnd w:id="10"/>
    </w:p>
    <w:p w:rsidR="00E660FF" w:rsidRPr="00A33A15" w:rsidRDefault="00A33A15" w:rsidP="00E660FF">
      <w:pPr>
        <w:rPr>
          <w:b/>
        </w:rPr>
      </w:pPr>
      <w:r>
        <w:rPr>
          <w:b/>
        </w:rPr>
        <w:t>Akseptabel bruk</w:t>
      </w:r>
    </w:p>
    <w:p w:rsidR="00E660FF" w:rsidRPr="00D8692D" w:rsidRDefault="00D439B3" w:rsidP="00E660FF">
      <w:pPr>
        <w:pStyle w:val="Listeavsnitt"/>
        <w:numPr>
          <w:ilvl w:val="0"/>
          <w:numId w:val="13"/>
        </w:numPr>
        <w:rPr>
          <w:b/>
          <w:i/>
        </w:rPr>
      </w:pPr>
      <w:r w:rsidRPr="00A33A15">
        <w:rPr>
          <w:i/>
        </w:rPr>
        <w:t>&lt;Virksomhet&gt;s</w:t>
      </w:r>
      <w:r w:rsidR="00E660FF">
        <w:t xml:space="preserve"> krypterte VPN-løsning</w:t>
      </w:r>
    </w:p>
    <w:p w:rsidR="00E660FF" w:rsidRPr="00D8692D" w:rsidRDefault="00E660FF" w:rsidP="00E660FF">
      <w:pPr>
        <w:pStyle w:val="Listeavsnitt"/>
        <w:numPr>
          <w:ilvl w:val="0"/>
          <w:numId w:val="13"/>
        </w:numPr>
        <w:rPr>
          <w:b/>
          <w:i/>
        </w:rPr>
      </w:pPr>
      <w:r>
        <w:t>Kryptert minnepenn benyttes for all intern informasjon</w:t>
      </w:r>
    </w:p>
    <w:p w:rsidR="00E660FF" w:rsidRPr="0074545A" w:rsidRDefault="00E660FF" w:rsidP="00E660FF">
      <w:pPr>
        <w:pStyle w:val="Listeavsnitt"/>
        <w:numPr>
          <w:ilvl w:val="0"/>
          <w:numId w:val="13"/>
        </w:numPr>
        <w:rPr>
          <w:b/>
          <w:i/>
        </w:rPr>
      </w:pPr>
      <w:r>
        <w:t>Ukryptert minnepenn kan benyttes til åpen informasjon</w:t>
      </w:r>
    </w:p>
    <w:p w:rsidR="00E660FF" w:rsidRPr="00D8692D" w:rsidRDefault="00E660FF" w:rsidP="00E660FF">
      <w:pPr>
        <w:pStyle w:val="Listeavsnitt"/>
        <w:numPr>
          <w:ilvl w:val="0"/>
          <w:numId w:val="13"/>
        </w:numPr>
        <w:rPr>
          <w:b/>
          <w:i/>
        </w:rPr>
      </w:pPr>
      <w:r>
        <w:t>Bruk av mobiltelefon som trådløs sone.</w:t>
      </w:r>
    </w:p>
    <w:p w:rsidR="00E660FF" w:rsidRPr="00A33A15" w:rsidRDefault="00A33A15" w:rsidP="00E660FF">
      <w:pPr>
        <w:rPr>
          <w:b/>
        </w:rPr>
      </w:pPr>
      <w:r>
        <w:rPr>
          <w:b/>
        </w:rPr>
        <w:t>Uakseptabel bruk</w:t>
      </w:r>
    </w:p>
    <w:p w:rsidR="00E660FF" w:rsidRDefault="00E660FF" w:rsidP="00E660FF">
      <w:pPr>
        <w:pStyle w:val="Listeavsnitt"/>
        <w:numPr>
          <w:ilvl w:val="0"/>
          <w:numId w:val="14"/>
        </w:numPr>
      </w:pPr>
      <w:r>
        <w:t xml:space="preserve">Sending eller lagring av </w:t>
      </w:r>
      <w:r w:rsidR="00D439B3" w:rsidRPr="00A33A15">
        <w:rPr>
          <w:i/>
        </w:rPr>
        <w:t>&lt;Virksomhet&gt;s</w:t>
      </w:r>
      <w:r>
        <w:t xml:space="preserve"> informasjon på ikke-godkjente systemer (for eksempel privat e-post, skytjenester eller eksterne chatteløsninger)</w:t>
      </w:r>
    </w:p>
    <w:p w:rsidR="00E660FF" w:rsidRDefault="00E660FF" w:rsidP="00E660FF">
      <w:pPr>
        <w:pStyle w:val="Listeavsnitt"/>
        <w:numPr>
          <w:ilvl w:val="0"/>
          <w:numId w:val="14"/>
        </w:numPr>
      </w:pPr>
      <w:r>
        <w:t>Lagring av kritisk informasjon på minnepenn, selv om den er kryptert</w:t>
      </w:r>
    </w:p>
    <w:p w:rsidR="00E660FF" w:rsidRDefault="00A33A15" w:rsidP="00E660FF">
      <w:r>
        <w:t xml:space="preserve">For særskilte behov, </w:t>
      </w:r>
      <w:r w:rsidR="00E660FF">
        <w:t>ta kontakt med sikkerhetsansvarlig.</w:t>
      </w:r>
    </w:p>
    <w:p w:rsidR="00E660FF" w:rsidRDefault="00E660FF" w:rsidP="00E660FF">
      <w:pPr>
        <w:pStyle w:val="Overskrift2"/>
      </w:pPr>
      <w:bookmarkStart w:id="11" w:name="_Toc517782379"/>
      <w:r>
        <w:t>Taushetsplikt</w:t>
      </w:r>
      <w:bookmarkEnd w:id="11"/>
    </w:p>
    <w:p w:rsidR="00E660FF" w:rsidRDefault="00E660FF" w:rsidP="00E660FF">
      <w:r>
        <w:t xml:space="preserve">Det er egne regler for </w:t>
      </w:r>
      <w:r w:rsidRPr="00172C2F">
        <w:t>taushetsplikt</w:t>
      </w:r>
      <w:r w:rsidRPr="008D6B5B">
        <w:t xml:space="preserve">, og den ansatte </w:t>
      </w:r>
      <w:r>
        <w:t xml:space="preserve">signerer </w:t>
      </w:r>
      <w:r w:rsidRPr="008D6B5B">
        <w:t>taushetsplikterklæring</w:t>
      </w:r>
      <w:r w:rsidR="00A33A15">
        <w:t>en</w:t>
      </w:r>
      <w:r>
        <w:t xml:space="preserve"> v</w:t>
      </w:r>
      <w:r w:rsidRPr="008D6B5B">
        <w:t>ed oppstart av ansettelsesforholdet.</w:t>
      </w:r>
    </w:p>
    <w:p w:rsidR="00E660FF" w:rsidRDefault="00E660FF" w:rsidP="00E660FF">
      <w:r>
        <w:t>Husk at vi også skal ta hensyn til taushetsplikten internt, både ved bruk av fagsystem og i dialogen mellom kollegaer. Det skal ikke søkes tilgang til taushetsbelagt informasjon i våre systemer uten at det foreligger tjenstlig behov.</w:t>
      </w:r>
    </w:p>
    <w:p w:rsidR="00E660FF" w:rsidRDefault="00E660FF" w:rsidP="00E660FF">
      <w:r>
        <w:t>Vær varsom i dialogen med eksterne, inklusive familie og tidligere kollegaer.</w:t>
      </w:r>
    </w:p>
    <w:p w:rsidR="00E660FF" w:rsidRDefault="00E660FF" w:rsidP="00E660FF">
      <w:pPr>
        <w:pStyle w:val="Overskrift2"/>
      </w:pPr>
      <w:bookmarkStart w:id="12" w:name="_Toc517782380"/>
      <w:r>
        <w:t>Avvik</w:t>
      </w:r>
      <w:bookmarkEnd w:id="12"/>
    </w:p>
    <w:p w:rsidR="00E81DD2" w:rsidRDefault="00E660FF" w:rsidP="00E81DD2">
      <w:r>
        <w:t>Et avvik er en uheldig hendelse eller et regelbrudd, og er noe som skjer i alle virksomheter. Brudd på disse reglene, og inter</w:t>
      </w:r>
      <w:r w:rsidRPr="0074545A">
        <w:t>nkontrollen forøvrig, skal rapporteres til sikkerhetsansvarlig som avvik.</w:t>
      </w:r>
      <w:r w:rsidR="00E81DD2">
        <w:t xml:space="preserve"> Meld straks fra til sikkerhetsansvarlig dersom du oppdager sikkerhetsbrudd eller hendelser som kan ha betydning for sikkerheten. </w:t>
      </w:r>
    </w:p>
    <w:p w:rsidR="00E660FF" w:rsidRDefault="00E660FF" w:rsidP="00E660FF">
      <w:r>
        <w:t xml:space="preserve">Mindre alvorlige avvik (for eksempel kollegaer som glemmer å låse datamaskinen) kan tas direkte med den det gjelder. </w:t>
      </w:r>
    </w:p>
    <w:p w:rsidR="008063CE" w:rsidRDefault="00E660FF" w:rsidP="00E660FF">
      <w:r>
        <w:t>Det skal være en lav terskel for å rapportere avvik. Meld også fra om situasjoner hvor noe kunne gått galt, slik at vi kan forbedre oss</w:t>
      </w:r>
      <w:r w:rsidR="00E81DD2">
        <w:t>.</w:t>
      </w:r>
    </w:p>
    <w:p w:rsidR="008063CE" w:rsidRDefault="008063CE" w:rsidP="008063CE">
      <w:pPr>
        <w:pStyle w:val="Sluttnotetekst"/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:rsidR="008063CE" w:rsidRDefault="008063CE" w:rsidP="008063CE">
      <w:pPr>
        <w:pStyle w:val="Sluttnotetekst"/>
        <w:rPr>
          <w:rFonts w:ascii="Times New Roman" w:hAnsi="Times New Roman"/>
          <w:sz w:val="22"/>
          <w:szCs w:val="22"/>
        </w:rPr>
      </w:pPr>
    </w:p>
    <w:p w:rsidR="00734486" w:rsidRDefault="00734486" w:rsidP="00734486">
      <w:pPr>
        <w:pStyle w:val="Sluttnotetekst"/>
        <w:jc w:val="left"/>
        <w:rPr>
          <w:rFonts w:asciiTheme="minorHAnsi" w:hAnsiTheme="minorHAnsi" w:cstheme="minorHAnsi"/>
          <w:sz w:val="22"/>
          <w:szCs w:val="22"/>
        </w:rPr>
      </w:pPr>
    </w:p>
    <w:p w:rsidR="008063CE" w:rsidRPr="00874500" w:rsidRDefault="00734486" w:rsidP="00734486">
      <w:pPr>
        <w:pStyle w:val="Sluttnoteteks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FB531C" wp14:editId="2DB05EB2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24909" id="Rektangel 1" o:spid="_x0000_s1026" style="position:absolute;margin-left:10.5pt;margin-top:.7pt;width:17.2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" filled="f" strokecolor="black [3213]" strokeweight=".25pt">
                <w10:wrap type="tight"/>
              </v:rect>
            </w:pict>
          </mc:Fallback>
        </mc:AlternateContent>
      </w:r>
      <w:r w:rsidR="008063CE" w:rsidRPr="00874500">
        <w:rPr>
          <w:rFonts w:asciiTheme="minorHAnsi" w:hAnsiTheme="minorHAnsi" w:cstheme="minorHAnsi"/>
          <w:sz w:val="22"/>
          <w:szCs w:val="22"/>
        </w:rPr>
        <w:t>Sikkerhets</w:t>
      </w:r>
      <w:r w:rsidR="001B5D6F">
        <w:rPr>
          <w:rFonts w:asciiTheme="minorHAnsi" w:hAnsiTheme="minorHAnsi" w:cstheme="minorHAnsi"/>
          <w:sz w:val="22"/>
          <w:szCs w:val="22"/>
        </w:rPr>
        <w:t>instruksen er lest og akseptert</w:t>
      </w:r>
    </w:p>
    <w:p w:rsidR="008063CE" w:rsidRDefault="008063CE" w:rsidP="008063CE">
      <w:pPr>
        <w:pStyle w:val="Sluttnotetekst"/>
        <w:jc w:val="left"/>
        <w:rPr>
          <w:rFonts w:ascii="Times New Roman" w:hAnsi="Times New Roman"/>
          <w:sz w:val="22"/>
          <w:szCs w:val="22"/>
        </w:rPr>
      </w:pPr>
    </w:p>
    <w:p w:rsidR="008063CE" w:rsidRDefault="001B5D6F" w:rsidP="008063CE">
      <w:pPr>
        <w:pStyle w:val="Sluttnotetekst"/>
        <w:jc w:val="left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8063CE" w:rsidRPr="00874500">
        <w:rPr>
          <w:rFonts w:asciiTheme="minorHAnsi" w:hAnsiTheme="minorHAnsi" w:cstheme="minorHAnsi"/>
          <w:sz w:val="22"/>
          <w:szCs w:val="22"/>
        </w:rPr>
        <w:t>Sted og dato:</w:t>
      </w:r>
      <w:r w:rsidR="008063CE">
        <w:rPr>
          <w:rFonts w:ascii="Times New Roman" w:hAnsi="Times New Roman"/>
          <w:sz w:val="22"/>
          <w:szCs w:val="22"/>
        </w:rPr>
        <w:t xml:space="preserve"> ___________________________</w:t>
      </w:r>
      <w:r>
        <w:rPr>
          <w:rFonts w:ascii="Times New Roman" w:hAnsi="Times New Roman"/>
          <w:sz w:val="22"/>
          <w:szCs w:val="22"/>
        </w:rPr>
        <w:t>________________________________</w:t>
      </w:r>
      <w:r w:rsidR="008063CE">
        <w:rPr>
          <w:rFonts w:ascii="Times New Roman" w:hAnsi="Times New Roman"/>
          <w:sz w:val="22"/>
          <w:szCs w:val="22"/>
        </w:rPr>
        <w:t xml:space="preserve">_   </w:t>
      </w:r>
      <w:r>
        <w:rPr>
          <w:rFonts w:ascii="Times New Roman" w:hAnsi="Times New Roman"/>
          <w:sz w:val="22"/>
          <w:szCs w:val="22"/>
        </w:rPr>
        <w:br/>
      </w:r>
    </w:p>
    <w:p w:rsidR="008063CE" w:rsidRDefault="008063CE" w:rsidP="008063CE">
      <w:pPr>
        <w:pStyle w:val="Sluttnotetekst"/>
        <w:jc w:val="left"/>
        <w:rPr>
          <w:rFonts w:ascii="Times New Roman" w:hAnsi="Times New Roman"/>
          <w:sz w:val="22"/>
          <w:szCs w:val="22"/>
        </w:rPr>
      </w:pPr>
    </w:p>
    <w:p w:rsidR="001B5D6F" w:rsidRDefault="008063CE" w:rsidP="00E660FF">
      <w:r>
        <w:t>Navn (</w:t>
      </w:r>
      <w:r>
        <w:rPr>
          <w:color w:val="000000"/>
        </w:rPr>
        <w:t>blokkbokstaver</w:t>
      </w:r>
      <w:r w:rsidR="001B5D6F">
        <w:t>): ____</w:t>
      </w:r>
      <w:r>
        <w:t>_</w:t>
      </w:r>
      <w:r w:rsidR="001B5D6F">
        <w:t>__________________________________________</w:t>
      </w:r>
      <w:r>
        <w:t xml:space="preserve">______   </w:t>
      </w:r>
    </w:p>
    <w:p w:rsidR="001B5D6F" w:rsidRDefault="001B5D6F" w:rsidP="00E660FF"/>
    <w:p w:rsidR="008063CE" w:rsidRPr="00E660FF" w:rsidRDefault="008063CE" w:rsidP="00E660FF">
      <w:r>
        <w:t>Signatur: __________</w:t>
      </w:r>
      <w:r w:rsidR="001B5D6F">
        <w:t>__________________________________________</w:t>
      </w:r>
      <w:r>
        <w:t>____________</w:t>
      </w:r>
    </w:p>
    <w:sectPr w:rsidR="008063CE" w:rsidRPr="00E660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68">
          <w:rPr>
            <w:noProof/>
          </w:rPr>
          <w:t>3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AE3FC6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Sikkerhetsinstruks bruker</w:t>
          </w:r>
        </w:p>
      </w:tc>
      <w:tc>
        <w:tcPr>
          <w:tcW w:w="2546" w:type="dxa"/>
        </w:tcPr>
        <w:p w:rsidR="00074422" w:rsidRPr="004433C0" w:rsidRDefault="00A33A15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5F35C8"/>
    <w:multiLevelType w:val="hybridMultilevel"/>
    <w:tmpl w:val="0066A8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818F9"/>
    <w:multiLevelType w:val="hybridMultilevel"/>
    <w:tmpl w:val="71E8689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D36B9"/>
    <w:multiLevelType w:val="hybridMultilevel"/>
    <w:tmpl w:val="0BD66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51B6E"/>
    <w:rsid w:val="00074422"/>
    <w:rsid w:val="00083125"/>
    <w:rsid w:val="000C03D7"/>
    <w:rsid w:val="000D184B"/>
    <w:rsid w:val="001508F2"/>
    <w:rsid w:val="001B5D6F"/>
    <w:rsid w:val="002B2FD3"/>
    <w:rsid w:val="003945EF"/>
    <w:rsid w:val="004433C0"/>
    <w:rsid w:val="0047604F"/>
    <w:rsid w:val="00564768"/>
    <w:rsid w:val="00591EAC"/>
    <w:rsid w:val="00734486"/>
    <w:rsid w:val="00785FA9"/>
    <w:rsid w:val="007A1B68"/>
    <w:rsid w:val="007A237D"/>
    <w:rsid w:val="008063CE"/>
    <w:rsid w:val="008F2F84"/>
    <w:rsid w:val="00952C24"/>
    <w:rsid w:val="00A33A15"/>
    <w:rsid w:val="00A51A04"/>
    <w:rsid w:val="00AE3FC6"/>
    <w:rsid w:val="00C50E09"/>
    <w:rsid w:val="00C76371"/>
    <w:rsid w:val="00D439B3"/>
    <w:rsid w:val="00D65C45"/>
    <w:rsid w:val="00E10B57"/>
    <w:rsid w:val="00E660FF"/>
    <w:rsid w:val="00E81DD2"/>
    <w:rsid w:val="00E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A4E5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063C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063CE"/>
    <w:rPr>
      <w:rFonts w:ascii="Verdana" w:eastAsia="Times New Roman" w:hAnsi="Verdana" w:cs="Times New Roman"/>
      <w:sz w:val="20"/>
      <w:szCs w:val="20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A33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tvett.no/passo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tatilsynet.no/personvern-pa-ulike-omrader/personvern-pa-arbeidsplassen/innsyn-epost-fil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1515</Words>
  <Characters>8033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5</cp:revision>
  <dcterms:created xsi:type="dcterms:W3CDTF">2018-10-29T13:19:00Z</dcterms:created>
  <dcterms:modified xsi:type="dcterms:W3CDTF">2018-10-30T08:38:00Z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