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DF0" w:rsidRDefault="00AF28FB" w:rsidP="00074422">
      <w:pPr>
        <w:pStyle w:val="Overskrift1"/>
      </w:pPr>
      <w:r>
        <w:t>Risiko</w:t>
      </w:r>
      <w:r w:rsidR="00E4354D">
        <w:t>styring</w:t>
      </w:r>
    </w:p>
    <w:p w:rsidR="005B0DB7" w:rsidRDefault="005B0DB7" w:rsidP="005B0DB7"/>
    <w:p w:rsidR="00E4354D" w:rsidRPr="00102AD5" w:rsidRDefault="00E4354D" w:rsidP="00E4354D">
      <w:pPr>
        <w:pStyle w:val="Overskrift2"/>
      </w:pPr>
      <w:r w:rsidRPr="00102AD5">
        <w:t>Hvem har ansvar for risikostyring</w:t>
      </w:r>
    </w:p>
    <w:p w:rsidR="00E4354D" w:rsidRDefault="00E4354D" w:rsidP="00E4354D">
      <w:r w:rsidRPr="00A10F91">
        <w:t xml:space="preserve">Det er </w:t>
      </w:r>
      <w:r>
        <w:t>verdieier</w:t>
      </w:r>
      <w:r w:rsidRPr="00A10F91">
        <w:t xml:space="preserve"> som er </w:t>
      </w:r>
      <w:r>
        <w:t xml:space="preserve">eier av risikoen og er </w:t>
      </w:r>
      <w:r w:rsidRPr="00A10F91">
        <w:t>ansvarlig for</w:t>
      </w:r>
      <w:r>
        <w:t xml:space="preserve"> risikostyringen</w:t>
      </w:r>
      <w:r w:rsidRPr="00A10F91">
        <w:t xml:space="preserve">. </w:t>
      </w:r>
      <w:r w:rsidR="00346CD8">
        <w:t>Den s</w:t>
      </w:r>
      <w:r>
        <w:t>ikkerhetsansvarlig</w:t>
      </w:r>
      <w:r w:rsidR="00346CD8">
        <w:t>e</w:t>
      </w:r>
      <w:r>
        <w:t xml:space="preserve"> skal bistå i den praktiske gjennomføringen av risikovurderingen og </w:t>
      </w:r>
      <w:r w:rsidR="00346CD8">
        <w:t>gi råd</w:t>
      </w:r>
      <w:r>
        <w:t xml:space="preserve"> underveis. Verdieier</w:t>
      </w:r>
      <w:r w:rsidR="006C0C96">
        <w:t>en</w:t>
      </w:r>
      <w:r>
        <w:t xml:space="preserve"> har ansvar for gjennomføring og oppfølging av tiltak. Det skal orienteres om gjennomførte risikovurderinger i ledergruppen, og særskilte risikoer og tiltak med vesentlig kostnad skal behandles.</w:t>
      </w:r>
    </w:p>
    <w:p w:rsidR="00E4354D" w:rsidRDefault="00E4354D" w:rsidP="00E4354D">
      <w:pPr>
        <w:pStyle w:val="Overskrift2"/>
      </w:pPr>
      <w:r>
        <w:t>Risikovurdering</w:t>
      </w:r>
    </w:p>
    <w:p w:rsidR="00E4354D" w:rsidRDefault="00E4354D" w:rsidP="00E4354D">
      <w:r>
        <w:t xml:space="preserve">Risikovurdering består i å identifisere, analysere og evaluere risiko. Risikovurderinger gjennomføres systematisk, periodisk og ved vesentlige endringer i oppgaver eller omgivelsene. Risikovurderinger i </w:t>
      </w:r>
      <w:r w:rsidRPr="00346CD8">
        <w:rPr>
          <w:i/>
        </w:rPr>
        <w:t>&lt;virksomhet&gt;</w:t>
      </w:r>
      <w:r>
        <w:t xml:space="preserve"> gjennomføres på grunnlag av NS 5832 «</w:t>
      </w:r>
      <w:proofErr w:type="spellStart"/>
      <w:r>
        <w:t>Samfunssikkerhet</w:t>
      </w:r>
      <w:proofErr w:type="spellEnd"/>
      <w:r>
        <w:t xml:space="preserve"> – Beskyttelse mot tilsiktede uønskede handlinger – Krav til sikringsrisikoanalyse» og veiledere i sikringsrisikoanalyse utgitt av Nasjonal Sikkerhetsmyndighet. </w:t>
      </w:r>
    </w:p>
    <w:p w:rsidR="00E4354D" w:rsidRDefault="00E4354D" w:rsidP="00E4354D">
      <w:r>
        <w:t>Arbeidet med risikovurderinger er initiert av:</w:t>
      </w:r>
    </w:p>
    <w:p w:rsidR="00E4354D" w:rsidRDefault="00E4354D" w:rsidP="00E4354D">
      <w:pPr>
        <w:pStyle w:val="Listeavsnitt"/>
        <w:numPr>
          <w:ilvl w:val="0"/>
          <w:numId w:val="28"/>
        </w:numPr>
      </w:pPr>
      <w:r>
        <w:t xml:space="preserve">Årlige overordnede risikovurderinger </w:t>
      </w:r>
    </w:p>
    <w:p w:rsidR="00E4354D" w:rsidRDefault="00E4354D" w:rsidP="00E4354D">
      <w:pPr>
        <w:pStyle w:val="Listeavsnitt"/>
        <w:numPr>
          <w:ilvl w:val="0"/>
          <w:numId w:val="28"/>
        </w:numPr>
      </w:pPr>
      <w:r>
        <w:t>Nye eller vesentlige endringer i tiltak, prosesser, IT-systemer, regulatoriske krav mv.</w:t>
      </w:r>
    </w:p>
    <w:p w:rsidR="00E4354D" w:rsidRDefault="00E4354D" w:rsidP="00E4354D">
      <w:pPr>
        <w:pStyle w:val="Listeavsnitt"/>
        <w:numPr>
          <w:ilvl w:val="0"/>
          <w:numId w:val="28"/>
        </w:numPr>
      </w:pPr>
      <w:r>
        <w:t>Vesentlige endringer i trusselbildet</w:t>
      </w:r>
    </w:p>
    <w:p w:rsidR="00E4354D" w:rsidRDefault="00E4354D" w:rsidP="00E4354D">
      <w:pPr>
        <w:pStyle w:val="Listeavsnitt"/>
        <w:numPr>
          <w:ilvl w:val="0"/>
          <w:numId w:val="28"/>
        </w:numPr>
      </w:pPr>
      <w:r>
        <w:t>Hendelser identifisert i og rapportert fra avvikshåndtering</w:t>
      </w:r>
    </w:p>
    <w:p w:rsidR="00E4354D" w:rsidRDefault="00E4354D" w:rsidP="00E4354D">
      <w:pPr>
        <w:pStyle w:val="Listeavsnitt"/>
        <w:numPr>
          <w:ilvl w:val="0"/>
          <w:numId w:val="28"/>
        </w:numPr>
      </w:pPr>
      <w:r>
        <w:t>Status eller hendelser identifisert i og rapportert fra sikkerhetsrevisjon, egenkontroll og Ledelsens gjennomgang</w:t>
      </w:r>
    </w:p>
    <w:p w:rsidR="00E4354D" w:rsidRDefault="00E4354D" w:rsidP="00E4354D">
      <w:pPr>
        <w:pStyle w:val="Overskrift2"/>
      </w:pPr>
      <w:r>
        <w:t>Risikohåndtering</w:t>
      </w:r>
    </w:p>
    <w:p w:rsidR="00E4354D" w:rsidRDefault="00E4354D" w:rsidP="00E4354D">
      <w:r>
        <w:t>Risikohåndtering er hvordan vi tar stilling til hvordan risikoer skal håndteres. Det skjer på bakgrunn av både resultatet fra risikovurderingene og ledelsens føringer for risikohåndteringen. Det er fire hovedmåter vi håndterer risiko på:</w:t>
      </w:r>
    </w:p>
    <w:p w:rsidR="00E4354D" w:rsidRDefault="00E4354D" w:rsidP="00E4354D">
      <w:pPr>
        <w:pStyle w:val="Listeavsnitt"/>
        <w:numPr>
          <w:ilvl w:val="0"/>
          <w:numId w:val="27"/>
        </w:numPr>
      </w:pPr>
      <w:r>
        <w:t>Akseptere risiko</w:t>
      </w:r>
    </w:p>
    <w:p w:rsidR="00E4354D" w:rsidRDefault="00E4354D" w:rsidP="00E4354D">
      <w:pPr>
        <w:pStyle w:val="Listeavsnitt"/>
        <w:numPr>
          <w:ilvl w:val="0"/>
          <w:numId w:val="27"/>
        </w:numPr>
      </w:pPr>
      <w:r>
        <w:t>Unngå risiko</w:t>
      </w:r>
    </w:p>
    <w:p w:rsidR="00E4354D" w:rsidRDefault="00E4354D" w:rsidP="00E4354D">
      <w:pPr>
        <w:pStyle w:val="Listeavsnitt"/>
        <w:numPr>
          <w:ilvl w:val="0"/>
          <w:numId w:val="27"/>
        </w:numPr>
      </w:pPr>
      <w:r>
        <w:t>Overføre/flytte risiko</w:t>
      </w:r>
    </w:p>
    <w:p w:rsidR="00E4354D" w:rsidRDefault="00E4354D" w:rsidP="00E4354D">
      <w:pPr>
        <w:pStyle w:val="Listeavsnitt"/>
        <w:numPr>
          <w:ilvl w:val="0"/>
          <w:numId w:val="27"/>
        </w:numPr>
      </w:pPr>
      <w:r>
        <w:t>Behandle/modifisere risiko</w:t>
      </w:r>
    </w:p>
    <w:p w:rsidR="00E4354D" w:rsidRDefault="00E4354D" w:rsidP="00E4354D">
      <w:r>
        <w:t xml:space="preserve">Hvordan risikoeier velger å håndtere risiko styres av eventuelle pålegg i form av lover og regler, føringer fra ledelsen, risikoens sannsynlighet og konsekvens, formålseffektiviteten til aktuelle tiltak, forventet kostnad og gevinst, samt </w:t>
      </w:r>
      <w:proofErr w:type="spellStart"/>
      <w:r>
        <w:t>kontraktuelle</w:t>
      </w:r>
      <w:proofErr w:type="spellEnd"/>
      <w:r>
        <w:t xml:space="preserve"> forhold.</w:t>
      </w:r>
    </w:p>
    <w:p w:rsidR="00E4354D" w:rsidRDefault="00E4354D" w:rsidP="00E4354D">
      <w:r>
        <w:t>Til sist i risikohåndteringen lages en plan for hvem som skal etablere valgte tiltak innen hvilke frister. Disse planene følges opp av risikoeier.</w:t>
      </w:r>
    </w:p>
    <w:p w:rsidR="00E4354D" w:rsidRDefault="00E4354D" w:rsidP="00E4354D">
      <w:pPr>
        <w:rPr>
          <w:rFonts w:asciiTheme="majorHAnsi" w:eastAsiaTheme="majorEastAsia" w:hAnsiTheme="majorHAnsi" w:cstheme="majorBidi"/>
          <w:color w:val="2E74B5" w:themeColor="accent1" w:themeShade="BF"/>
          <w:sz w:val="26"/>
          <w:szCs w:val="26"/>
        </w:rPr>
      </w:pPr>
      <w:r>
        <w:br w:type="page"/>
      </w:r>
    </w:p>
    <w:p w:rsidR="00E4354D" w:rsidRDefault="00E4354D" w:rsidP="00E4354D">
      <w:pPr>
        <w:pStyle w:val="Overskrift2"/>
      </w:pPr>
      <w:r w:rsidRPr="00534E60">
        <w:lastRenderedPageBreak/>
        <w:t>Nivå og skala for risiko</w:t>
      </w:r>
    </w:p>
    <w:p w:rsidR="00346CD8" w:rsidRPr="00346CD8" w:rsidRDefault="006C0C96" w:rsidP="00346CD8">
      <w:r w:rsidRPr="006C0C96">
        <w:rPr>
          <w:i/>
        </w:rPr>
        <w:t>Eksempel:</w:t>
      </w:r>
      <w:bookmarkStart w:id="0" w:name="_GoBack"/>
      <w:bookmarkEnd w:id="0"/>
    </w:p>
    <w:tbl>
      <w:tblPr>
        <w:tblW w:w="5158" w:type="pct"/>
        <w:tblInd w:w="-5" w:type="dxa"/>
        <w:tblLayout w:type="fixed"/>
        <w:tblCellMar>
          <w:left w:w="70" w:type="dxa"/>
          <w:right w:w="70" w:type="dxa"/>
        </w:tblCellMar>
        <w:tblLook w:val="04A0" w:firstRow="1" w:lastRow="0" w:firstColumn="1" w:lastColumn="0" w:noHBand="0" w:noVBand="1"/>
      </w:tblPr>
      <w:tblGrid>
        <w:gridCol w:w="416"/>
        <w:gridCol w:w="1500"/>
        <w:gridCol w:w="1488"/>
        <w:gridCol w:w="1613"/>
        <w:gridCol w:w="2159"/>
        <w:gridCol w:w="2172"/>
      </w:tblGrid>
      <w:tr w:rsidR="00E4354D" w:rsidRPr="00146DCE" w:rsidTr="00346CD8">
        <w:trPr>
          <w:trHeight w:val="329"/>
        </w:trPr>
        <w:tc>
          <w:tcPr>
            <w:tcW w:w="5000" w:type="pct"/>
            <w:gridSpan w:val="6"/>
            <w:tcBorders>
              <w:top w:val="single" w:sz="4" w:space="0" w:color="auto"/>
              <w:left w:val="single" w:sz="4" w:space="0" w:color="auto"/>
              <w:bottom w:val="single" w:sz="4" w:space="0" w:color="auto"/>
              <w:right w:val="single" w:sz="4" w:space="0" w:color="auto"/>
            </w:tcBorders>
            <w:shd w:val="clear" w:color="000000" w:fill="DDEBF7"/>
            <w:noWrap/>
            <w:hideMark/>
          </w:tcPr>
          <w:p w:rsidR="00E4354D" w:rsidRPr="00146DCE" w:rsidRDefault="00E4354D" w:rsidP="00534299">
            <w:pPr>
              <w:spacing w:after="0" w:line="240" w:lineRule="auto"/>
              <w:rPr>
                <w:rFonts w:ascii="Calibri" w:eastAsia="Times New Roman" w:hAnsi="Calibri" w:cs="Calibri"/>
                <w:b/>
                <w:bCs/>
                <w:color w:val="000000"/>
              </w:rPr>
            </w:pPr>
            <w:r w:rsidRPr="00146DCE">
              <w:rPr>
                <w:rFonts w:ascii="Calibri" w:eastAsia="Times New Roman" w:hAnsi="Calibri" w:cs="Calibri"/>
                <w:b/>
                <w:bCs/>
                <w:color w:val="000000"/>
              </w:rPr>
              <w:t>Klassifisering av konsekven</w:t>
            </w:r>
            <w:r>
              <w:rPr>
                <w:rFonts w:ascii="Calibri" w:eastAsia="Times New Roman" w:hAnsi="Calibri" w:cs="Calibri"/>
                <w:b/>
                <w:bCs/>
                <w:color w:val="000000"/>
              </w:rPr>
              <w:t>s</w:t>
            </w:r>
            <w:r w:rsidRPr="00146DCE">
              <w:rPr>
                <w:rFonts w:ascii="Calibri" w:eastAsia="Times New Roman" w:hAnsi="Calibri" w:cs="Calibri"/>
                <w:b/>
                <w:bCs/>
                <w:color w:val="000000"/>
              </w:rPr>
              <w:t>er</w:t>
            </w:r>
          </w:p>
        </w:tc>
      </w:tr>
      <w:tr w:rsidR="00346CD8" w:rsidRPr="00146DCE" w:rsidTr="00346CD8">
        <w:trPr>
          <w:trHeight w:val="329"/>
        </w:trPr>
        <w:tc>
          <w:tcPr>
            <w:tcW w:w="222" w:type="pct"/>
            <w:tcBorders>
              <w:top w:val="nil"/>
              <w:left w:val="single" w:sz="4" w:space="0" w:color="auto"/>
              <w:bottom w:val="single" w:sz="4" w:space="0" w:color="auto"/>
              <w:right w:val="single" w:sz="4" w:space="0" w:color="auto"/>
            </w:tcBorders>
            <w:shd w:val="clear" w:color="000000" w:fill="DDEBF7"/>
            <w:hideMark/>
          </w:tcPr>
          <w:p w:rsidR="00E4354D" w:rsidRPr="00146DCE" w:rsidRDefault="00E4354D" w:rsidP="00534299">
            <w:pPr>
              <w:spacing w:after="0" w:line="240" w:lineRule="auto"/>
              <w:rPr>
                <w:rFonts w:ascii="Calibri" w:eastAsia="Times New Roman" w:hAnsi="Calibri" w:cs="Calibri"/>
                <w:color w:val="000000"/>
              </w:rPr>
            </w:pPr>
            <w:r w:rsidRPr="00146DCE">
              <w:rPr>
                <w:rFonts w:ascii="Calibri" w:eastAsia="Times New Roman" w:hAnsi="Calibri" w:cs="Calibri"/>
                <w:color w:val="000000"/>
              </w:rPr>
              <w:t> </w:t>
            </w:r>
          </w:p>
        </w:tc>
        <w:tc>
          <w:tcPr>
            <w:tcW w:w="802" w:type="pct"/>
            <w:tcBorders>
              <w:top w:val="nil"/>
              <w:left w:val="nil"/>
              <w:bottom w:val="single" w:sz="4" w:space="0" w:color="auto"/>
              <w:right w:val="single" w:sz="4" w:space="0" w:color="auto"/>
            </w:tcBorders>
            <w:shd w:val="clear" w:color="000000" w:fill="DDEBF7"/>
            <w:hideMark/>
          </w:tcPr>
          <w:p w:rsidR="00E4354D" w:rsidRPr="00146DCE" w:rsidRDefault="00E4354D" w:rsidP="00534299">
            <w:pPr>
              <w:spacing w:after="0" w:line="240" w:lineRule="auto"/>
              <w:rPr>
                <w:rFonts w:ascii="Calibri" w:eastAsia="Times New Roman" w:hAnsi="Calibri" w:cs="Calibri"/>
                <w:color w:val="000000"/>
              </w:rPr>
            </w:pPr>
            <w:r w:rsidRPr="00146DCE">
              <w:rPr>
                <w:rFonts w:ascii="Calibri" w:eastAsia="Times New Roman" w:hAnsi="Calibri" w:cs="Calibri"/>
                <w:color w:val="000000"/>
              </w:rPr>
              <w:t> </w:t>
            </w:r>
          </w:p>
        </w:tc>
        <w:tc>
          <w:tcPr>
            <w:tcW w:w="796" w:type="pct"/>
            <w:tcBorders>
              <w:top w:val="nil"/>
              <w:left w:val="nil"/>
              <w:bottom w:val="single" w:sz="4" w:space="0" w:color="auto"/>
              <w:right w:val="single" w:sz="4" w:space="0" w:color="auto"/>
            </w:tcBorders>
            <w:shd w:val="clear" w:color="000000" w:fill="00B050"/>
            <w:hideMark/>
          </w:tcPr>
          <w:p w:rsidR="00E4354D" w:rsidRPr="00146DCE" w:rsidRDefault="00E4354D" w:rsidP="00534299">
            <w:pPr>
              <w:spacing w:after="0" w:line="240" w:lineRule="auto"/>
              <w:rPr>
                <w:rFonts w:ascii="Calibri" w:eastAsia="Times New Roman" w:hAnsi="Calibri" w:cs="Calibri"/>
                <w:color w:val="000000"/>
              </w:rPr>
            </w:pPr>
            <w:r w:rsidRPr="00146DCE">
              <w:rPr>
                <w:rFonts w:ascii="Calibri" w:eastAsia="Times New Roman" w:hAnsi="Calibri" w:cs="Calibri"/>
                <w:color w:val="000000"/>
              </w:rPr>
              <w:t>Lav</w:t>
            </w:r>
          </w:p>
        </w:tc>
        <w:tc>
          <w:tcPr>
            <w:tcW w:w="863" w:type="pct"/>
            <w:tcBorders>
              <w:top w:val="nil"/>
              <w:left w:val="nil"/>
              <w:bottom w:val="single" w:sz="4" w:space="0" w:color="auto"/>
              <w:right w:val="single" w:sz="4" w:space="0" w:color="auto"/>
            </w:tcBorders>
            <w:shd w:val="clear" w:color="000000" w:fill="FFFF00"/>
            <w:hideMark/>
          </w:tcPr>
          <w:p w:rsidR="00E4354D" w:rsidRPr="00146DCE" w:rsidRDefault="00E4354D" w:rsidP="00534299">
            <w:pPr>
              <w:spacing w:after="0" w:line="240" w:lineRule="auto"/>
              <w:rPr>
                <w:rFonts w:ascii="Calibri" w:eastAsia="Times New Roman" w:hAnsi="Calibri" w:cs="Calibri"/>
                <w:color w:val="000000"/>
              </w:rPr>
            </w:pPr>
            <w:r w:rsidRPr="00146DCE">
              <w:rPr>
                <w:rFonts w:ascii="Calibri" w:eastAsia="Times New Roman" w:hAnsi="Calibri" w:cs="Calibri"/>
                <w:color w:val="000000"/>
              </w:rPr>
              <w:t>Moderat</w:t>
            </w:r>
          </w:p>
        </w:tc>
        <w:tc>
          <w:tcPr>
            <w:tcW w:w="1155" w:type="pct"/>
            <w:tcBorders>
              <w:top w:val="nil"/>
              <w:left w:val="nil"/>
              <w:bottom w:val="single" w:sz="4" w:space="0" w:color="auto"/>
              <w:right w:val="single" w:sz="4" w:space="0" w:color="auto"/>
            </w:tcBorders>
            <w:shd w:val="clear" w:color="000000" w:fill="FFC000"/>
            <w:hideMark/>
          </w:tcPr>
          <w:p w:rsidR="00E4354D" w:rsidRPr="00146DCE" w:rsidRDefault="00E4354D" w:rsidP="00534299">
            <w:pPr>
              <w:spacing w:after="0" w:line="240" w:lineRule="auto"/>
              <w:rPr>
                <w:rFonts w:ascii="Calibri" w:eastAsia="Times New Roman" w:hAnsi="Calibri" w:cs="Calibri"/>
                <w:color w:val="000000"/>
              </w:rPr>
            </w:pPr>
            <w:r w:rsidRPr="00146DCE">
              <w:rPr>
                <w:rFonts w:ascii="Calibri" w:eastAsia="Times New Roman" w:hAnsi="Calibri" w:cs="Calibri"/>
                <w:color w:val="000000"/>
              </w:rPr>
              <w:t>Høy</w:t>
            </w:r>
          </w:p>
        </w:tc>
        <w:tc>
          <w:tcPr>
            <w:tcW w:w="1161" w:type="pct"/>
            <w:tcBorders>
              <w:top w:val="nil"/>
              <w:left w:val="nil"/>
              <w:bottom w:val="single" w:sz="4" w:space="0" w:color="auto"/>
              <w:right w:val="single" w:sz="4" w:space="0" w:color="auto"/>
            </w:tcBorders>
            <w:shd w:val="clear" w:color="000000" w:fill="FF0000"/>
            <w:hideMark/>
          </w:tcPr>
          <w:p w:rsidR="00E4354D" w:rsidRPr="00146DCE" w:rsidRDefault="00E4354D" w:rsidP="00534299">
            <w:pPr>
              <w:spacing w:after="0" w:line="240" w:lineRule="auto"/>
              <w:rPr>
                <w:rFonts w:ascii="Calibri" w:eastAsia="Times New Roman" w:hAnsi="Calibri" w:cs="Calibri"/>
                <w:color w:val="000000"/>
              </w:rPr>
            </w:pPr>
            <w:r w:rsidRPr="00146DCE">
              <w:rPr>
                <w:rFonts w:ascii="Calibri" w:eastAsia="Times New Roman" w:hAnsi="Calibri" w:cs="Calibri"/>
                <w:color w:val="000000"/>
              </w:rPr>
              <w:t>Svært høy</w:t>
            </w:r>
          </w:p>
        </w:tc>
      </w:tr>
      <w:tr w:rsidR="00346CD8" w:rsidRPr="00146DCE" w:rsidTr="00346CD8">
        <w:trPr>
          <w:trHeight w:val="1646"/>
        </w:trPr>
        <w:tc>
          <w:tcPr>
            <w:tcW w:w="222" w:type="pct"/>
            <w:vMerge w:val="restart"/>
            <w:tcBorders>
              <w:top w:val="nil"/>
              <w:left w:val="single" w:sz="4" w:space="0" w:color="auto"/>
              <w:bottom w:val="single" w:sz="4" w:space="0" w:color="auto"/>
              <w:right w:val="single" w:sz="4" w:space="0" w:color="auto"/>
            </w:tcBorders>
            <w:shd w:val="clear" w:color="000000" w:fill="DDEBF7"/>
            <w:noWrap/>
            <w:textDirection w:val="btLr"/>
            <w:hideMark/>
          </w:tcPr>
          <w:p w:rsidR="00E4354D" w:rsidRPr="00146DCE" w:rsidRDefault="00E4354D" w:rsidP="00534299">
            <w:pPr>
              <w:spacing w:after="0" w:line="240" w:lineRule="auto"/>
              <w:jc w:val="center"/>
              <w:rPr>
                <w:rFonts w:ascii="Calibri" w:eastAsia="Times New Roman" w:hAnsi="Calibri" w:cs="Calibri"/>
                <w:b/>
                <w:bCs/>
                <w:color w:val="000000"/>
                <w:sz w:val="24"/>
                <w:szCs w:val="24"/>
              </w:rPr>
            </w:pPr>
            <w:r w:rsidRPr="00146DCE">
              <w:rPr>
                <w:rFonts w:ascii="Calibri" w:eastAsia="Times New Roman" w:hAnsi="Calibri" w:cs="Calibri"/>
                <w:b/>
                <w:bCs/>
                <w:color w:val="000000"/>
                <w:sz w:val="24"/>
                <w:szCs w:val="24"/>
              </w:rPr>
              <w:t>Virksomhet</w:t>
            </w:r>
          </w:p>
        </w:tc>
        <w:tc>
          <w:tcPr>
            <w:tcW w:w="802" w:type="pct"/>
            <w:tcBorders>
              <w:top w:val="nil"/>
              <w:left w:val="nil"/>
              <w:bottom w:val="single" w:sz="4" w:space="0" w:color="auto"/>
              <w:right w:val="single" w:sz="4" w:space="0" w:color="auto"/>
            </w:tcBorders>
            <w:shd w:val="clear" w:color="000000" w:fill="DDEBF7"/>
            <w:hideMark/>
          </w:tcPr>
          <w:p w:rsidR="00E4354D" w:rsidRPr="00146DCE" w:rsidRDefault="00E4354D" w:rsidP="00534299">
            <w:pPr>
              <w:spacing w:after="0" w:line="240" w:lineRule="auto"/>
              <w:jc w:val="center"/>
              <w:rPr>
                <w:rFonts w:ascii="Calibri" w:eastAsia="Times New Roman" w:hAnsi="Calibri" w:cs="Calibri"/>
                <w:b/>
                <w:bCs/>
                <w:color w:val="000000"/>
              </w:rPr>
            </w:pPr>
            <w:r w:rsidRPr="00146DCE">
              <w:rPr>
                <w:rFonts w:ascii="Calibri" w:eastAsia="Times New Roman" w:hAnsi="Calibri" w:cs="Calibri"/>
                <w:b/>
                <w:bCs/>
                <w:color w:val="000000"/>
              </w:rPr>
              <w:t>Liv og helse for eget personell</w:t>
            </w:r>
          </w:p>
        </w:tc>
        <w:tc>
          <w:tcPr>
            <w:tcW w:w="796" w:type="pct"/>
            <w:tcBorders>
              <w:top w:val="nil"/>
              <w:left w:val="nil"/>
              <w:bottom w:val="single" w:sz="4" w:space="0" w:color="auto"/>
              <w:right w:val="single" w:sz="4" w:space="0" w:color="auto"/>
            </w:tcBorders>
            <w:shd w:val="clear" w:color="auto" w:fill="auto"/>
            <w:hideMark/>
          </w:tcPr>
          <w:p w:rsidR="00E4354D" w:rsidRPr="00146DCE" w:rsidRDefault="00E4354D" w:rsidP="00534299">
            <w:pPr>
              <w:spacing w:after="0" w:line="240" w:lineRule="auto"/>
              <w:rPr>
                <w:rFonts w:ascii="Calibri" w:eastAsia="Times New Roman" w:hAnsi="Calibri" w:cs="Calibri"/>
                <w:i/>
                <w:iCs/>
                <w:color w:val="000000"/>
              </w:rPr>
            </w:pPr>
            <w:r w:rsidRPr="00146DCE">
              <w:rPr>
                <w:rFonts w:ascii="Calibri" w:eastAsia="Times New Roman" w:hAnsi="Calibri" w:cs="Calibri"/>
                <w:i/>
                <w:iCs/>
                <w:color w:val="000000"/>
              </w:rPr>
              <w:t>Medfører ingen alvorlig personskade eller sykefravær</w:t>
            </w:r>
          </w:p>
        </w:tc>
        <w:tc>
          <w:tcPr>
            <w:tcW w:w="863" w:type="pct"/>
            <w:tcBorders>
              <w:top w:val="nil"/>
              <w:left w:val="nil"/>
              <w:bottom w:val="single" w:sz="4" w:space="0" w:color="auto"/>
              <w:right w:val="single" w:sz="4" w:space="0" w:color="auto"/>
            </w:tcBorders>
            <w:shd w:val="clear" w:color="auto" w:fill="auto"/>
            <w:hideMark/>
          </w:tcPr>
          <w:p w:rsidR="00E4354D" w:rsidRPr="00146DCE" w:rsidRDefault="00E4354D" w:rsidP="00534299">
            <w:pPr>
              <w:spacing w:after="0" w:line="240" w:lineRule="auto"/>
              <w:rPr>
                <w:rFonts w:ascii="Calibri" w:eastAsia="Times New Roman" w:hAnsi="Calibri" w:cs="Calibri"/>
                <w:i/>
                <w:iCs/>
                <w:color w:val="000000"/>
              </w:rPr>
            </w:pPr>
            <w:r w:rsidRPr="00146DCE">
              <w:rPr>
                <w:rFonts w:ascii="Calibri" w:eastAsia="Times New Roman" w:hAnsi="Calibri" w:cs="Calibri"/>
                <w:i/>
                <w:iCs/>
                <w:color w:val="000000"/>
              </w:rPr>
              <w:t>Mindre alvorlig personskade som ikke medfører varig uførhet</w:t>
            </w:r>
          </w:p>
        </w:tc>
        <w:tc>
          <w:tcPr>
            <w:tcW w:w="1155" w:type="pct"/>
            <w:tcBorders>
              <w:top w:val="nil"/>
              <w:left w:val="nil"/>
              <w:bottom w:val="single" w:sz="4" w:space="0" w:color="auto"/>
              <w:right w:val="single" w:sz="4" w:space="0" w:color="auto"/>
            </w:tcBorders>
            <w:shd w:val="clear" w:color="auto" w:fill="auto"/>
            <w:hideMark/>
          </w:tcPr>
          <w:p w:rsidR="00E4354D" w:rsidRPr="00146DCE" w:rsidRDefault="00E4354D" w:rsidP="00534299">
            <w:pPr>
              <w:spacing w:after="0" w:line="240" w:lineRule="auto"/>
              <w:rPr>
                <w:rFonts w:ascii="Calibri" w:eastAsia="Times New Roman" w:hAnsi="Calibri" w:cs="Calibri"/>
                <w:i/>
                <w:iCs/>
                <w:color w:val="000000"/>
              </w:rPr>
            </w:pPr>
            <w:r w:rsidRPr="00146DCE">
              <w:rPr>
                <w:rFonts w:ascii="Calibri" w:eastAsia="Times New Roman" w:hAnsi="Calibri" w:cs="Calibri"/>
                <w:i/>
                <w:iCs/>
                <w:color w:val="000000"/>
              </w:rPr>
              <w:t>Alvorlig personskade som medfører varig uførhet</w:t>
            </w:r>
          </w:p>
        </w:tc>
        <w:tc>
          <w:tcPr>
            <w:tcW w:w="1161" w:type="pct"/>
            <w:tcBorders>
              <w:top w:val="nil"/>
              <w:left w:val="nil"/>
              <w:bottom w:val="single" w:sz="4" w:space="0" w:color="auto"/>
              <w:right w:val="single" w:sz="4" w:space="0" w:color="auto"/>
            </w:tcBorders>
            <w:shd w:val="clear" w:color="auto" w:fill="auto"/>
            <w:hideMark/>
          </w:tcPr>
          <w:p w:rsidR="00E4354D" w:rsidRPr="00146DCE" w:rsidRDefault="00E4354D" w:rsidP="00534299">
            <w:pPr>
              <w:spacing w:after="0" w:line="240" w:lineRule="auto"/>
              <w:rPr>
                <w:rFonts w:ascii="Calibri" w:eastAsia="Times New Roman" w:hAnsi="Calibri" w:cs="Calibri"/>
                <w:i/>
                <w:iCs/>
                <w:color w:val="000000"/>
              </w:rPr>
            </w:pPr>
            <w:r w:rsidRPr="00146DCE">
              <w:rPr>
                <w:rFonts w:ascii="Calibri" w:eastAsia="Times New Roman" w:hAnsi="Calibri" w:cs="Calibri"/>
                <w:i/>
                <w:iCs/>
                <w:color w:val="000000"/>
              </w:rPr>
              <w:t>Dødsfall</w:t>
            </w:r>
          </w:p>
        </w:tc>
      </w:tr>
      <w:tr w:rsidR="00346CD8" w:rsidRPr="00146DCE" w:rsidTr="00346CD8">
        <w:trPr>
          <w:trHeight w:val="2536"/>
        </w:trPr>
        <w:tc>
          <w:tcPr>
            <w:tcW w:w="222" w:type="pct"/>
            <w:vMerge/>
            <w:tcBorders>
              <w:top w:val="nil"/>
              <w:left w:val="single" w:sz="4" w:space="0" w:color="auto"/>
              <w:bottom w:val="single" w:sz="4" w:space="0" w:color="auto"/>
              <w:right w:val="single" w:sz="4" w:space="0" w:color="auto"/>
            </w:tcBorders>
            <w:hideMark/>
          </w:tcPr>
          <w:p w:rsidR="00E4354D" w:rsidRPr="00146DCE" w:rsidRDefault="00E4354D" w:rsidP="00534299">
            <w:pPr>
              <w:spacing w:after="0" w:line="240" w:lineRule="auto"/>
              <w:jc w:val="center"/>
              <w:rPr>
                <w:rFonts w:ascii="Calibri" w:eastAsia="Times New Roman" w:hAnsi="Calibri" w:cs="Calibri"/>
                <w:b/>
                <w:bCs/>
                <w:color w:val="000000"/>
                <w:sz w:val="24"/>
                <w:szCs w:val="24"/>
              </w:rPr>
            </w:pPr>
          </w:p>
        </w:tc>
        <w:tc>
          <w:tcPr>
            <w:tcW w:w="802" w:type="pct"/>
            <w:tcBorders>
              <w:top w:val="nil"/>
              <w:left w:val="nil"/>
              <w:bottom w:val="single" w:sz="4" w:space="0" w:color="auto"/>
              <w:right w:val="single" w:sz="4" w:space="0" w:color="auto"/>
            </w:tcBorders>
            <w:shd w:val="clear" w:color="000000" w:fill="DDEBF7"/>
            <w:hideMark/>
          </w:tcPr>
          <w:p w:rsidR="00E4354D" w:rsidRPr="00146DCE" w:rsidRDefault="00E4354D" w:rsidP="00534299">
            <w:pPr>
              <w:spacing w:after="0" w:line="240" w:lineRule="auto"/>
              <w:jc w:val="center"/>
              <w:rPr>
                <w:rFonts w:ascii="Calibri" w:eastAsia="Times New Roman" w:hAnsi="Calibri" w:cs="Calibri"/>
                <w:b/>
                <w:bCs/>
                <w:color w:val="000000"/>
              </w:rPr>
            </w:pPr>
            <w:r w:rsidRPr="00146DCE">
              <w:rPr>
                <w:rFonts w:ascii="Calibri" w:eastAsia="Times New Roman" w:hAnsi="Calibri" w:cs="Calibri"/>
                <w:b/>
                <w:bCs/>
                <w:color w:val="000000"/>
              </w:rPr>
              <w:t>Omdømme</w:t>
            </w:r>
          </w:p>
        </w:tc>
        <w:tc>
          <w:tcPr>
            <w:tcW w:w="796" w:type="pct"/>
            <w:tcBorders>
              <w:top w:val="nil"/>
              <w:left w:val="nil"/>
              <w:bottom w:val="single" w:sz="4" w:space="0" w:color="auto"/>
              <w:right w:val="single" w:sz="4" w:space="0" w:color="auto"/>
            </w:tcBorders>
            <w:shd w:val="clear" w:color="auto" w:fill="auto"/>
            <w:hideMark/>
          </w:tcPr>
          <w:p w:rsidR="00E4354D" w:rsidRPr="00146DCE" w:rsidRDefault="00E4354D" w:rsidP="00E4354D">
            <w:pPr>
              <w:spacing w:after="0" w:line="240" w:lineRule="auto"/>
              <w:rPr>
                <w:rFonts w:ascii="Calibri" w:eastAsia="Times New Roman" w:hAnsi="Calibri" w:cs="Calibri"/>
                <w:i/>
                <w:iCs/>
                <w:color w:val="000000"/>
              </w:rPr>
            </w:pPr>
            <w:r w:rsidRPr="00146DCE">
              <w:rPr>
                <w:rFonts w:ascii="Calibri" w:eastAsia="Times New Roman" w:hAnsi="Calibri" w:cs="Calibri"/>
                <w:i/>
                <w:iCs/>
                <w:color w:val="000000"/>
              </w:rPr>
              <w:t xml:space="preserve">Noe negativ publisitet, men ingen påviselig feil i </w:t>
            </w:r>
            <w:r>
              <w:rPr>
                <w:rFonts w:ascii="Calibri" w:eastAsia="Times New Roman" w:hAnsi="Calibri" w:cs="Calibri"/>
                <w:i/>
                <w:iCs/>
                <w:color w:val="000000"/>
              </w:rPr>
              <w:t>&lt;virksomhet&gt;s</w:t>
            </w:r>
            <w:r w:rsidRPr="00146DCE">
              <w:rPr>
                <w:rFonts w:ascii="Calibri" w:eastAsia="Times New Roman" w:hAnsi="Calibri" w:cs="Calibri"/>
                <w:i/>
                <w:iCs/>
                <w:color w:val="000000"/>
              </w:rPr>
              <w:t xml:space="preserve"> leveranser eller rutiner.</w:t>
            </w:r>
          </w:p>
        </w:tc>
        <w:tc>
          <w:tcPr>
            <w:tcW w:w="863" w:type="pct"/>
            <w:tcBorders>
              <w:top w:val="nil"/>
              <w:left w:val="nil"/>
              <w:bottom w:val="single" w:sz="4" w:space="0" w:color="auto"/>
              <w:right w:val="single" w:sz="4" w:space="0" w:color="auto"/>
            </w:tcBorders>
            <w:shd w:val="clear" w:color="auto" w:fill="auto"/>
            <w:hideMark/>
          </w:tcPr>
          <w:p w:rsidR="00E4354D" w:rsidRPr="00146DCE" w:rsidRDefault="00E4354D" w:rsidP="00534299">
            <w:pPr>
              <w:spacing w:after="0" w:line="240" w:lineRule="auto"/>
              <w:rPr>
                <w:rFonts w:ascii="Calibri" w:eastAsia="Times New Roman" w:hAnsi="Calibri" w:cs="Calibri"/>
                <w:i/>
                <w:iCs/>
                <w:color w:val="000000"/>
              </w:rPr>
            </w:pPr>
            <w:r w:rsidRPr="00146DCE">
              <w:rPr>
                <w:rFonts w:ascii="Calibri" w:eastAsia="Times New Roman" w:hAnsi="Calibri" w:cs="Calibri"/>
                <w:i/>
                <w:iCs/>
                <w:color w:val="000000"/>
              </w:rPr>
              <w:t xml:space="preserve">Tidsbegrenset negativ publisitet og begrenset til enkelthendelse. Eventuelle konsekvenser berører enkeltpersoner. </w:t>
            </w:r>
          </w:p>
        </w:tc>
        <w:tc>
          <w:tcPr>
            <w:tcW w:w="1155" w:type="pct"/>
            <w:tcBorders>
              <w:top w:val="nil"/>
              <w:left w:val="nil"/>
              <w:bottom w:val="single" w:sz="4" w:space="0" w:color="auto"/>
              <w:right w:val="single" w:sz="4" w:space="0" w:color="auto"/>
            </w:tcBorders>
            <w:shd w:val="clear" w:color="auto" w:fill="auto"/>
            <w:hideMark/>
          </w:tcPr>
          <w:p w:rsidR="00E4354D" w:rsidRPr="00146DCE" w:rsidRDefault="00E4354D" w:rsidP="00534299">
            <w:pPr>
              <w:spacing w:after="0" w:line="240" w:lineRule="auto"/>
              <w:rPr>
                <w:rFonts w:ascii="Calibri" w:eastAsia="Times New Roman" w:hAnsi="Calibri" w:cs="Calibri"/>
                <w:i/>
                <w:iCs/>
                <w:color w:val="000000"/>
              </w:rPr>
            </w:pPr>
            <w:r w:rsidRPr="00146DCE">
              <w:rPr>
                <w:rFonts w:ascii="Calibri" w:eastAsia="Times New Roman" w:hAnsi="Calibri" w:cs="Calibri"/>
                <w:i/>
                <w:iCs/>
                <w:color w:val="000000"/>
              </w:rPr>
              <w:t>Negativ publisitet som fører til interne omorganiseringer og/eller endrede ansvarsforhold. Kan føre til rekrutterings</w:t>
            </w:r>
            <w:r w:rsidR="00346CD8">
              <w:rPr>
                <w:rFonts w:ascii="Calibri" w:eastAsia="Times New Roman" w:hAnsi="Calibri" w:cs="Calibri"/>
                <w:i/>
                <w:iCs/>
                <w:color w:val="000000"/>
              </w:rPr>
              <w:t>-</w:t>
            </w:r>
            <w:r w:rsidRPr="00146DCE">
              <w:rPr>
                <w:rFonts w:ascii="Calibri" w:eastAsia="Times New Roman" w:hAnsi="Calibri" w:cs="Calibri"/>
                <w:i/>
                <w:iCs/>
                <w:color w:val="000000"/>
              </w:rPr>
              <w:t>problemer.</w:t>
            </w:r>
          </w:p>
        </w:tc>
        <w:tc>
          <w:tcPr>
            <w:tcW w:w="1161" w:type="pct"/>
            <w:tcBorders>
              <w:top w:val="nil"/>
              <w:left w:val="nil"/>
              <w:bottom w:val="single" w:sz="4" w:space="0" w:color="auto"/>
              <w:right w:val="single" w:sz="4" w:space="0" w:color="auto"/>
            </w:tcBorders>
            <w:shd w:val="clear" w:color="auto" w:fill="auto"/>
            <w:hideMark/>
          </w:tcPr>
          <w:p w:rsidR="00E4354D" w:rsidRPr="00146DCE" w:rsidRDefault="00E4354D" w:rsidP="00534299">
            <w:pPr>
              <w:spacing w:after="0" w:line="240" w:lineRule="auto"/>
              <w:rPr>
                <w:rFonts w:ascii="Calibri" w:eastAsia="Times New Roman" w:hAnsi="Calibri" w:cs="Calibri"/>
                <w:i/>
                <w:iCs/>
                <w:color w:val="000000"/>
              </w:rPr>
            </w:pPr>
            <w:r w:rsidRPr="00146DCE">
              <w:rPr>
                <w:rFonts w:ascii="Calibri" w:eastAsia="Times New Roman" w:hAnsi="Calibri" w:cs="Calibri"/>
                <w:i/>
                <w:iCs/>
                <w:color w:val="000000"/>
              </w:rPr>
              <w:t>Vedvarende negativ publisitet og omtale fører til omstrukturering og/eller reduserte rammebetingelser og/eller betydelige rekrutterings</w:t>
            </w:r>
            <w:r w:rsidR="00346CD8">
              <w:rPr>
                <w:rFonts w:ascii="Calibri" w:eastAsia="Times New Roman" w:hAnsi="Calibri" w:cs="Calibri"/>
                <w:i/>
                <w:iCs/>
                <w:color w:val="000000"/>
              </w:rPr>
              <w:t>-</w:t>
            </w:r>
            <w:r w:rsidRPr="00146DCE">
              <w:rPr>
                <w:rFonts w:ascii="Calibri" w:eastAsia="Times New Roman" w:hAnsi="Calibri" w:cs="Calibri"/>
                <w:i/>
                <w:iCs/>
                <w:color w:val="000000"/>
              </w:rPr>
              <w:t>problemer.</w:t>
            </w:r>
          </w:p>
        </w:tc>
      </w:tr>
      <w:tr w:rsidR="00346CD8" w:rsidRPr="00146DCE" w:rsidTr="00346CD8">
        <w:trPr>
          <w:trHeight w:val="1269"/>
        </w:trPr>
        <w:tc>
          <w:tcPr>
            <w:tcW w:w="222" w:type="pct"/>
            <w:vMerge/>
            <w:tcBorders>
              <w:top w:val="nil"/>
              <w:left w:val="single" w:sz="4" w:space="0" w:color="auto"/>
              <w:bottom w:val="single" w:sz="4" w:space="0" w:color="auto"/>
              <w:right w:val="single" w:sz="4" w:space="0" w:color="auto"/>
            </w:tcBorders>
            <w:hideMark/>
          </w:tcPr>
          <w:p w:rsidR="00E4354D" w:rsidRPr="00146DCE" w:rsidRDefault="00E4354D" w:rsidP="00534299">
            <w:pPr>
              <w:spacing w:after="0" w:line="240" w:lineRule="auto"/>
              <w:jc w:val="center"/>
              <w:rPr>
                <w:rFonts w:ascii="Calibri" w:eastAsia="Times New Roman" w:hAnsi="Calibri" w:cs="Calibri"/>
                <w:b/>
                <w:bCs/>
                <w:color w:val="000000"/>
                <w:sz w:val="24"/>
                <w:szCs w:val="24"/>
              </w:rPr>
            </w:pPr>
          </w:p>
        </w:tc>
        <w:tc>
          <w:tcPr>
            <w:tcW w:w="802" w:type="pct"/>
            <w:tcBorders>
              <w:top w:val="nil"/>
              <w:left w:val="nil"/>
              <w:bottom w:val="single" w:sz="4" w:space="0" w:color="auto"/>
              <w:right w:val="single" w:sz="4" w:space="0" w:color="auto"/>
            </w:tcBorders>
            <w:shd w:val="clear" w:color="000000" w:fill="DDEBF7"/>
            <w:hideMark/>
          </w:tcPr>
          <w:p w:rsidR="00E4354D" w:rsidRPr="00146DCE" w:rsidRDefault="00E4354D" w:rsidP="00534299">
            <w:pPr>
              <w:spacing w:after="0" w:line="240" w:lineRule="auto"/>
              <w:jc w:val="center"/>
              <w:rPr>
                <w:rFonts w:ascii="Calibri" w:eastAsia="Times New Roman" w:hAnsi="Calibri" w:cs="Calibri"/>
                <w:b/>
                <w:bCs/>
                <w:color w:val="000000"/>
              </w:rPr>
            </w:pPr>
            <w:r w:rsidRPr="00146DCE">
              <w:rPr>
                <w:rFonts w:ascii="Calibri" w:eastAsia="Times New Roman" w:hAnsi="Calibri" w:cs="Calibri"/>
                <w:b/>
                <w:bCs/>
                <w:color w:val="000000"/>
              </w:rPr>
              <w:t>Økonomi</w:t>
            </w:r>
          </w:p>
        </w:tc>
        <w:tc>
          <w:tcPr>
            <w:tcW w:w="796" w:type="pct"/>
            <w:tcBorders>
              <w:top w:val="nil"/>
              <w:left w:val="nil"/>
              <w:bottom w:val="single" w:sz="4" w:space="0" w:color="auto"/>
              <w:right w:val="single" w:sz="4" w:space="0" w:color="auto"/>
            </w:tcBorders>
            <w:shd w:val="clear" w:color="auto" w:fill="auto"/>
            <w:hideMark/>
          </w:tcPr>
          <w:p w:rsidR="00E4354D" w:rsidRPr="00146DCE" w:rsidRDefault="00E4354D" w:rsidP="00534299">
            <w:pPr>
              <w:spacing w:after="0" w:line="240" w:lineRule="auto"/>
              <w:rPr>
                <w:rFonts w:ascii="Calibri" w:eastAsia="Times New Roman" w:hAnsi="Calibri" w:cs="Calibri"/>
                <w:i/>
                <w:iCs/>
                <w:color w:val="000000"/>
              </w:rPr>
            </w:pPr>
            <w:r w:rsidRPr="00146DCE">
              <w:rPr>
                <w:rFonts w:ascii="Calibri" w:eastAsia="Times New Roman" w:hAnsi="Calibri" w:cs="Calibri"/>
                <w:i/>
                <w:iCs/>
                <w:color w:val="000000"/>
              </w:rPr>
              <w:t xml:space="preserve">Direkte økonomiske tap </w:t>
            </w:r>
            <w:proofErr w:type="spellStart"/>
            <w:r w:rsidRPr="00146DCE">
              <w:rPr>
                <w:rFonts w:ascii="Calibri" w:eastAsia="Times New Roman" w:hAnsi="Calibri" w:cs="Calibri"/>
                <w:i/>
                <w:iCs/>
                <w:color w:val="000000"/>
              </w:rPr>
              <w:t>inntill</w:t>
            </w:r>
            <w:proofErr w:type="spellEnd"/>
            <w:r w:rsidRPr="00146DCE">
              <w:rPr>
                <w:rFonts w:ascii="Calibri" w:eastAsia="Times New Roman" w:hAnsi="Calibri" w:cs="Calibri"/>
                <w:i/>
                <w:iCs/>
                <w:color w:val="000000"/>
              </w:rPr>
              <w:t xml:space="preserve"> 0,1 mill. kr. </w:t>
            </w:r>
          </w:p>
        </w:tc>
        <w:tc>
          <w:tcPr>
            <w:tcW w:w="863" w:type="pct"/>
            <w:tcBorders>
              <w:top w:val="nil"/>
              <w:left w:val="nil"/>
              <w:bottom w:val="single" w:sz="4" w:space="0" w:color="auto"/>
              <w:right w:val="single" w:sz="4" w:space="0" w:color="auto"/>
            </w:tcBorders>
            <w:shd w:val="clear" w:color="auto" w:fill="auto"/>
            <w:hideMark/>
          </w:tcPr>
          <w:p w:rsidR="00E4354D" w:rsidRPr="00146DCE" w:rsidRDefault="00E4354D" w:rsidP="00534299">
            <w:pPr>
              <w:spacing w:after="0" w:line="240" w:lineRule="auto"/>
              <w:rPr>
                <w:rFonts w:ascii="Calibri" w:eastAsia="Times New Roman" w:hAnsi="Calibri" w:cs="Calibri"/>
                <w:i/>
                <w:iCs/>
                <w:color w:val="000000"/>
              </w:rPr>
            </w:pPr>
            <w:r w:rsidRPr="00146DCE">
              <w:rPr>
                <w:rFonts w:ascii="Calibri" w:eastAsia="Times New Roman" w:hAnsi="Calibri" w:cs="Calibri"/>
                <w:i/>
                <w:iCs/>
                <w:color w:val="000000"/>
              </w:rPr>
              <w:t xml:space="preserve">Direkte økonomiske tap mellom 0,1 og 1 mill. kr. </w:t>
            </w:r>
          </w:p>
        </w:tc>
        <w:tc>
          <w:tcPr>
            <w:tcW w:w="1155" w:type="pct"/>
            <w:tcBorders>
              <w:top w:val="nil"/>
              <w:left w:val="nil"/>
              <w:bottom w:val="single" w:sz="4" w:space="0" w:color="auto"/>
              <w:right w:val="single" w:sz="4" w:space="0" w:color="auto"/>
            </w:tcBorders>
            <w:shd w:val="clear" w:color="auto" w:fill="auto"/>
            <w:hideMark/>
          </w:tcPr>
          <w:p w:rsidR="00E4354D" w:rsidRPr="00146DCE" w:rsidRDefault="00E4354D" w:rsidP="00534299">
            <w:pPr>
              <w:spacing w:after="0" w:line="240" w:lineRule="auto"/>
              <w:rPr>
                <w:rFonts w:ascii="Calibri" w:eastAsia="Times New Roman" w:hAnsi="Calibri" w:cs="Calibri"/>
                <w:i/>
                <w:iCs/>
                <w:color w:val="000000"/>
              </w:rPr>
            </w:pPr>
            <w:r w:rsidRPr="00146DCE">
              <w:rPr>
                <w:rFonts w:ascii="Calibri" w:eastAsia="Times New Roman" w:hAnsi="Calibri" w:cs="Calibri"/>
                <w:i/>
                <w:iCs/>
                <w:color w:val="000000"/>
              </w:rPr>
              <w:t>Direkte økonomiske tap mellom 1 og 5 mill. kr.</w:t>
            </w:r>
          </w:p>
        </w:tc>
        <w:tc>
          <w:tcPr>
            <w:tcW w:w="1161" w:type="pct"/>
            <w:tcBorders>
              <w:top w:val="nil"/>
              <w:left w:val="nil"/>
              <w:bottom w:val="single" w:sz="4" w:space="0" w:color="auto"/>
              <w:right w:val="single" w:sz="4" w:space="0" w:color="auto"/>
            </w:tcBorders>
            <w:shd w:val="clear" w:color="auto" w:fill="auto"/>
            <w:hideMark/>
          </w:tcPr>
          <w:p w:rsidR="00E4354D" w:rsidRPr="00146DCE" w:rsidRDefault="00E4354D" w:rsidP="00534299">
            <w:pPr>
              <w:spacing w:after="0" w:line="240" w:lineRule="auto"/>
              <w:rPr>
                <w:rFonts w:ascii="Calibri" w:eastAsia="Times New Roman" w:hAnsi="Calibri" w:cs="Calibri"/>
                <w:i/>
                <w:iCs/>
                <w:color w:val="000000"/>
              </w:rPr>
            </w:pPr>
            <w:r w:rsidRPr="00146DCE">
              <w:rPr>
                <w:rFonts w:ascii="Calibri" w:eastAsia="Times New Roman" w:hAnsi="Calibri" w:cs="Calibri"/>
                <w:i/>
                <w:iCs/>
                <w:color w:val="000000"/>
              </w:rPr>
              <w:t>Direkte økonomiske tap over 5 mill. kr</w:t>
            </w:r>
          </w:p>
        </w:tc>
      </w:tr>
      <w:tr w:rsidR="00346CD8" w:rsidRPr="00146DCE" w:rsidTr="00346CD8">
        <w:trPr>
          <w:trHeight w:val="1392"/>
        </w:trPr>
        <w:tc>
          <w:tcPr>
            <w:tcW w:w="222" w:type="pct"/>
            <w:vMerge/>
            <w:tcBorders>
              <w:top w:val="nil"/>
              <w:left w:val="single" w:sz="4" w:space="0" w:color="auto"/>
              <w:bottom w:val="single" w:sz="4" w:space="0" w:color="auto"/>
              <w:right w:val="single" w:sz="4" w:space="0" w:color="auto"/>
            </w:tcBorders>
            <w:hideMark/>
          </w:tcPr>
          <w:p w:rsidR="00E4354D" w:rsidRPr="00146DCE" w:rsidRDefault="00E4354D" w:rsidP="00534299">
            <w:pPr>
              <w:spacing w:after="0" w:line="240" w:lineRule="auto"/>
              <w:jc w:val="center"/>
              <w:rPr>
                <w:rFonts w:ascii="Calibri" w:eastAsia="Times New Roman" w:hAnsi="Calibri" w:cs="Calibri"/>
                <w:b/>
                <w:bCs/>
                <w:color w:val="000000"/>
                <w:sz w:val="24"/>
                <w:szCs w:val="24"/>
              </w:rPr>
            </w:pPr>
          </w:p>
        </w:tc>
        <w:tc>
          <w:tcPr>
            <w:tcW w:w="802" w:type="pct"/>
            <w:tcBorders>
              <w:top w:val="nil"/>
              <w:left w:val="nil"/>
              <w:bottom w:val="single" w:sz="4" w:space="0" w:color="auto"/>
              <w:right w:val="single" w:sz="4" w:space="0" w:color="auto"/>
            </w:tcBorders>
            <w:shd w:val="clear" w:color="000000" w:fill="DDEBF7"/>
            <w:hideMark/>
          </w:tcPr>
          <w:p w:rsidR="00E4354D" w:rsidRPr="00146DCE" w:rsidRDefault="00E4354D" w:rsidP="00534299">
            <w:pPr>
              <w:spacing w:after="0" w:line="240" w:lineRule="auto"/>
              <w:jc w:val="center"/>
              <w:rPr>
                <w:rFonts w:ascii="Calibri" w:eastAsia="Times New Roman" w:hAnsi="Calibri" w:cs="Calibri"/>
                <w:b/>
                <w:bCs/>
                <w:color w:val="000000"/>
              </w:rPr>
            </w:pPr>
            <w:r w:rsidRPr="00146DCE">
              <w:rPr>
                <w:rFonts w:ascii="Calibri" w:eastAsia="Times New Roman" w:hAnsi="Calibri" w:cs="Calibri"/>
                <w:b/>
                <w:bCs/>
                <w:color w:val="000000"/>
              </w:rPr>
              <w:t>Operativ drift</w:t>
            </w:r>
          </w:p>
        </w:tc>
        <w:tc>
          <w:tcPr>
            <w:tcW w:w="796" w:type="pct"/>
            <w:tcBorders>
              <w:top w:val="nil"/>
              <w:left w:val="nil"/>
              <w:bottom w:val="single" w:sz="4" w:space="0" w:color="auto"/>
              <w:right w:val="single" w:sz="4" w:space="0" w:color="auto"/>
            </w:tcBorders>
            <w:shd w:val="clear" w:color="auto" w:fill="auto"/>
            <w:hideMark/>
          </w:tcPr>
          <w:p w:rsidR="00E4354D" w:rsidRPr="00146DCE" w:rsidRDefault="00E4354D" w:rsidP="00346CD8">
            <w:pPr>
              <w:spacing w:after="0" w:line="240" w:lineRule="auto"/>
              <w:rPr>
                <w:rFonts w:ascii="Calibri" w:eastAsia="Times New Roman" w:hAnsi="Calibri" w:cs="Calibri"/>
                <w:i/>
                <w:iCs/>
                <w:color w:val="000000"/>
              </w:rPr>
            </w:pPr>
            <w:r w:rsidRPr="00146DCE">
              <w:rPr>
                <w:rFonts w:ascii="Calibri" w:eastAsia="Times New Roman" w:hAnsi="Calibri" w:cs="Calibri"/>
                <w:i/>
                <w:iCs/>
                <w:color w:val="000000"/>
              </w:rPr>
              <w:t>Mindre forsinkelser i tjenest</w:t>
            </w:r>
            <w:r w:rsidR="00346CD8">
              <w:rPr>
                <w:rFonts w:ascii="Calibri" w:eastAsia="Times New Roman" w:hAnsi="Calibri" w:cs="Calibri"/>
                <w:i/>
                <w:iCs/>
                <w:color w:val="000000"/>
              </w:rPr>
              <w:t>e-</w:t>
            </w:r>
            <w:r w:rsidRPr="00146DCE">
              <w:rPr>
                <w:rFonts w:ascii="Calibri" w:eastAsia="Times New Roman" w:hAnsi="Calibri" w:cs="Calibri"/>
                <w:i/>
                <w:iCs/>
                <w:color w:val="000000"/>
              </w:rPr>
              <w:t xml:space="preserve">leveranse </w:t>
            </w:r>
          </w:p>
        </w:tc>
        <w:tc>
          <w:tcPr>
            <w:tcW w:w="863" w:type="pct"/>
            <w:tcBorders>
              <w:top w:val="nil"/>
              <w:left w:val="nil"/>
              <w:bottom w:val="single" w:sz="4" w:space="0" w:color="auto"/>
              <w:right w:val="single" w:sz="4" w:space="0" w:color="auto"/>
            </w:tcBorders>
            <w:shd w:val="clear" w:color="auto" w:fill="auto"/>
            <w:hideMark/>
          </w:tcPr>
          <w:p w:rsidR="00E4354D" w:rsidRPr="00146DCE" w:rsidRDefault="00E4354D" w:rsidP="00534299">
            <w:pPr>
              <w:spacing w:after="0" w:line="240" w:lineRule="auto"/>
              <w:rPr>
                <w:rFonts w:ascii="Calibri" w:eastAsia="Times New Roman" w:hAnsi="Calibri" w:cs="Calibri"/>
                <w:i/>
                <w:iCs/>
                <w:color w:val="000000"/>
              </w:rPr>
            </w:pPr>
            <w:r w:rsidRPr="00146DCE">
              <w:rPr>
                <w:rFonts w:ascii="Calibri" w:eastAsia="Times New Roman" w:hAnsi="Calibri" w:cs="Calibri"/>
                <w:i/>
                <w:iCs/>
                <w:color w:val="000000"/>
              </w:rPr>
              <w:t>Moderate forsinkelser i tjeneste</w:t>
            </w:r>
            <w:r w:rsidR="00346CD8">
              <w:rPr>
                <w:rFonts w:ascii="Calibri" w:eastAsia="Times New Roman" w:hAnsi="Calibri" w:cs="Calibri"/>
                <w:i/>
                <w:iCs/>
                <w:color w:val="000000"/>
              </w:rPr>
              <w:t>-</w:t>
            </w:r>
            <w:r w:rsidRPr="00146DCE">
              <w:rPr>
                <w:rFonts w:ascii="Calibri" w:eastAsia="Times New Roman" w:hAnsi="Calibri" w:cs="Calibri"/>
                <w:i/>
                <w:iCs/>
                <w:color w:val="000000"/>
              </w:rPr>
              <w:t>leveranse</w:t>
            </w:r>
          </w:p>
        </w:tc>
        <w:tc>
          <w:tcPr>
            <w:tcW w:w="1155" w:type="pct"/>
            <w:tcBorders>
              <w:top w:val="nil"/>
              <w:left w:val="nil"/>
              <w:bottom w:val="single" w:sz="4" w:space="0" w:color="auto"/>
              <w:right w:val="single" w:sz="4" w:space="0" w:color="auto"/>
            </w:tcBorders>
            <w:shd w:val="clear" w:color="auto" w:fill="auto"/>
            <w:hideMark/>
          </w:tcPr>
          <w:p w:rsidR="00E4354D" w:rsidRPr="00146DCE" w:rsidRDefault="00E4354D" w:rsidP="00534299">
            <w:pPr>
              <w:spacing w:after="0" w:line="240" w:lineRule="auto"/>
              <w:rPr>
                <w:rFonts w:ascii="Calibri" w:eastAsia="Times New Roman" w:hAnsi="Calibri" w:cs="Calibri"/>
                <w:i/>
                <w:iCs/>
                <w:color w:val="000000"/>
              </w:rPr>
            </w:pPr>
            <w:r w:rsidRPr="00146DCE">
              <w:rPr>
                <w:rFonts w:ascii="Calibri" w:eastAsia="Times New Roman" w:hAnsi="Calibri" w:cs="Calibri"/>
                <w:i/>
                <w:iCs/>
                <w:color w:val="000000"/>
              </w:rPr>
              <w:t>Betydelig forsinkelse i tjenesteleveranse</w:t>
            </w:r>
          </w:p>
        </w:tc>
        <w:tc>
          <w:tcPr>
            <w:tcW w:w="1161" w:type="pct"/>
            <w:tcBorders>
              <w:top w:val="nil"/>
              <w:left w:val="nil"/>
              <w:bottom w:val="single" w:sz="4" w:space="0" w:color="auto"/>
              <w:right w:val="single" w:sz="4" w:space="0" w:color="auto"/>
            </w:tcBorders>
            <w:shd w:val="clear" w:color="auto" w:fill="auto"/>
            <w:hideMark/>
          </w:tcPr>
          <w:p w:rsidR="00E4354D" w:rsidRPr="00146DCE" w:rsidRDefault="00E4354D" w:rsidP="00534299">
            <w:pPr>
              <w:spacing w:after="0" w:line="240" w:lineRule="auto"/>
              <w:rPr>
                <w:rFonts w:ascii="Calibri" w:eastAsia="Times New Roman" w:hAnsi="Calibri" w:cs="Calibri"/>
                <w:i/>
                <w:iCs/>
                <w:color w:val="000000"/>
              </w:rPr>
            </w:pPr>
            <w:r w:rsidRPr="00146DCE">
              <w:rPr>
                <w:rFonts w:ascii="Calibri" w:eastAsia="Times New Roman" w:hAnsi="Calibri" w:cs="Calibri"/>
                <w:i/>
                <w:iCs/>
                <w:color w:val="000000"/>
              </w:rPr>
              <w:t xml:space="preserve">Stopp i kritisk tjenesteleveranse. Tap av styring og kontroll. </w:t>
            </w:r>
          </w:p>
        </w:tc>
      </w:tr>
      <w:tr w:rsidR="00346CD8" w:rsidRPr="00146DCE" w:rsidTr="00346CD8">
        <w:trPr>
          <w:trHeight w:val="1647"/>
        </w:trPr>
        <w:tc>
          <w:tcPr>
            <w:tcW w:w="222" w:type="pct"/>
            <w:vMerge/>
            <w:tcBorders>
              <w:top w:val="nil"/>
              <w:left w:val="single" w:sz="4" w:space="0" w:color="auto"/>
              <w:bottom w:val="single" w:sz="4" w:space="0" w:color="auto"/>
              <w:right w:val="single" w:sz="4" w:space="0" w:color="auto"/>
            </w:tcBorders>
            <w:hideMark/>
          </w:tcPr>
          <w:p w:rsidR="00E4354D" w:rsidRPr="00146DCE" w:rsidRDefault="00E4354D" w:rsidP="00534299">
            <w:pPr>
              <w:spacing w:after="0" w:line="240" w:lineRule="auto"/>
              <w:jc w:val="center"/>
              <w:rPr>
                <w:rFonts w:ascii="Calibri" w:eastAsia="Times New Roman" w:hAnsi="Calibri" w:cs="Calibri"/>
                <w:b/>
                <w:bCs/>
                <w:color w:val="000000"/>
                <w:sz w:val="24"/>
                <w:szCs w:val="24"/>
              </w:rPr>
            </w:pPr>
          </w:p>
        </w:tc>
        <w:tc>
          <w:tcPr>
            <w:tcW w:w="802" w:type="pct"/>
            <w:tcBorders>
              <w:top w:val="nil"/>
              <w:left w:val="nil"/>
              <w:bottom w:val="single" w:sz="4" w:space="0" w:color="auto"/>
              <w:right w:val="single" w:sz="4" w:space="0" w:color="auto"/>
            </w:tcBorders>
            <w:shd w:val="clear" w:color="000000" w:fill="DDEBF7"/>
            <w:hideMark/>
          </w:tcPr>
          <w:p w:rsidR="00346CD8" w:rsidRDefault="00E4354D" w:rsidP="00534299">
            <w:pPr>
              <w:spacing w:after="0" w:line="240" w:lineRule="auto"/>
              <w:jc w:val="center"/>
              <w:rPr>
                <w:rFonts w:ascii="Calibri" w:eastAsia="Times New Roman" w:hAnsi="Calibri" w:cs="Calibri"/>
                <w:b/>
                <w:bCs/>
                <w:color w:val="000000"/>
              </w:rPr>
            </w:pPr>
            <w:r w:rsidRPr="00146DCE">
              <w:rPr>
                <w:rFonts w:ascii="Calibri" w:eastAsia="Times New Roman" w:hAnsi="Calibri" w:cs="Calibri"/>
                <w:b/>
                <w:bCs/>
                <w:color w:val="000000"/>
              </w:rPr>
              <w:t>Brudd på kontrakt/</w:t>
            </w:r>
          </w:p>
          <w:p w:rsidR="00E4354D" w:rsidRPr="00146DCE" w:rsidRDefault="00E4354D" w:rsidP="00534299">
            <w:pPr>
              <w:spacing w:after="0" w:line="240" w:lineRule="auto"/>
              <w:jc w:val="center"/>
              <w:rPr>
                <w:rFonts w:ascii="Calibri" w:eastAsia="Times New Roman" w:hAnsi="Calibri" w:cs="Calibri"/>
                <w:b/>
                <w:bCs/>
                <w:color w:val="000000"/>
              </w:rPr>
            </w:pPr>
            <w:r w:rsidRPr="00146DCE">
              <w:rPr>
                <w:rFonts w:ascii="Calibri" w:eastAsia="Times New Roman" w:hAnsi="Calibri" w:cs="Calibri"/>
                <w:b/>
                <w:bCs/>
                <w:color w:val="000000"/>
              </w:rPr>
              <w:t>avtale</w:t>
            </w:r>
          </w:p>
        </w:tc>
        <w:tc>
          <w:tcPr>
            <w:tcW w:w="796" w:type="pct"/>
            <w:tcBorders>
              <w:top w:val="nil"/>
              <w:left w:val="nil"/>
              <w:bottom w:val="single" w:sz="4" w:space="0" w:color="auto"/>
              <w:right w:val="single" w:sz="4" w:space="0" w:color="auto"/>
            </w:tcBorders>
            <w:shd w:val="clear" w:color="auto" w:fill="auto"/>
            <w:hideMark/>
          </w:tcPr>
          <w:p w:rsidR="00E4354D" w:rsidRPr="00146DCE" w:rsidRDefault="00E4354D" w:rsidP="00534299">
            <w:pPr>
              <w:spacing w:after="0" w:line="240" w:lineRule="auto"/>
              <w:rPr>
                <w:rFonts w:ascii="Calibri" w:eastAsia="Times New Roman" w:hAnsi="Calibri" w:cs="Calibri"/>
                <w:i/>
                <w:iCs/>
                <w:color w:val="000000"/>
              </w:rPr>
            </w:pPr>
            <w:r w:rsidRPr="00146DCE">
              <w:rPr>
                <w:rFonts w:ascii="Calibri" w:eastAsia="Times New Roman" w:hAnsi="Calibri" w:cs="Calibri"/>
                <w:i/>
                <w:iCs/>
                <w:color w:val="000000"/>
              </w:rPr>
              <w:t>Mindre avvik</w:t>
            </w:r>
          </w:p>
        </w:tc>
        <w:tc>
          <w:tcPr>
            <w:tcW w:w="863" w:type="pct"/>
            <w:tcBorders>
              <w:top w:val="nil"/>
              <w:left w:val="nil"/>
              <w:bottom w:val="single" w:sz="4" w:space="0" w:color="auto"/>
              <w:right w:val="single" w:sz="4" w:space="0" w:color="auto"/>
            </w:tcBorders>
            <w:shd w:val="clear" w:color="auto" w:fill="auto"/>
            <w:hideMark/>
          </w:tcPr>
          <w:p w:rsidR="00E4354D" w:rsidRPr="00146DCE" w:rsidRDefault="00E4354D" w:rsidP="00534299">
            <w:pPr>
              <w:spacing w:after="0" w:line="240" w:lineRule="auto"/>
              <w:rPr>
                <w:rFonts w:ascii="Calibri" w:eastAsia="Times New Roman" w:hAnsi="Calibri" w:cs="Calibri"/>
                <w:i/>
                <w:iCs/>
                <w:color w:val="000000"/>
              </w:rPr>
            </w:pPr>
            <w:r w:rsidRPr="00146DCE">
              <w:rPr>
                <w:rFonts w:ascii="Calibri" w:eastAsia="Times New Roman" w:hAnsi="Calibri" w:cs="Calibri"/>
                <w:i/>
                <w:iCs/>
                <w:color w:val="000000"/>
              </w:rPr>
              <w:t>Kontraktsbrudd medfølgende erstatningskrav</w:t>
            </w:r>
          </w:p>
        </w:tc>
        <w:tc>
          <w:tcPr>
            <w:tcW w:w="1155" w:type="pct"/>
            <w:tcBorders>
              <w:top w:val="nil"/>
              <w:left w:val="nil"/>
              <w:bottom w:val="single" w:sz="4" w:space="0" w:color="auto"/>
              <w:right w:val="single" w:sz="4" w:space="0" w:color="auto"/>
            </w:tcBorders>
            <w:shd w:val="clear" w:color="auto" w:fill="auto"/>
            <w:hideMark/>
          </w:tcPr>
          <w:p w:rsidR="00E4354D" w:rsidRPr="00146DCE" w:rsidRDefault="00E4354D" w:rsidP="00534299">
            <w:pPr>
              <w:spacing w:after="0" w:line="240" w:lineRule="auto"/>
              <w:rPr>
                <w:rFonts w:ascii="Calibri" w:eastAsia="Times New Roman" w:hAnsi="Calibri" w:cs="Calibri"/>
                <w:i/>
                <w:iCs/>
                <w:color w:val="000000"/>
              </w:rPr>
            </w:pPr>
            <w:r w:rsidRPr="00146DCE">
              <w:rPr>
                <w:rFonts w:ascii="Calibri" w:eastAsia="Times New Roman" w:hAnsi="Calibri" w:cs="Calibri"/>
                <w:i/>
                <w:iCs/>
                <w:color w:val="000000"/>
              </w:rPr>
              <w:t>Kontraktsbrudd medfølgende rettssaker og erstatninger</w:t>
            </w:r>
          </w:p>
        </w:tc>
        <w:tc>
          <w:tcPr>
            <w:tcW w:w="1161" w:type="pct"/>
            <w:tcBorders>
              <w:top w:val="nil"/>
              <w:left w:val="nil"/>
              <w:bottom w:val="single" w:sz="4" w:space="0" w:color="auto"/>
              <w:right w:val="single" w:sz="4" w:space="0" w:color="auto"/>
            </w:tcBorders>
            <w:shd w:val="clear" w:color="auto" w:fill="auto"/>
            <w:hideMark/>
          </w:tcPr>
          <w:p w:rsidR="00E4354D" w:rsidRPr="00146DCE" w:rsidRDefault="00E4354D" w:rsidP="00534299">
            <w:pPr>
              <w:spacing w:after="0" w:line="240" w:lineRule="auto"/>
              <w:rPr>
                <w:rFonts w:ascii="Calibri" w:eastAsia="Times New Roman" w:hAnsi="Calibri" w:cs="Calibri"/>
                <w:i/>
                <w:iCs/>
                <w:color w:val="000000"/>
              </w:rPr>
            </w:pPr>
            <w:r w:rsidRPr="00146DCE">
              <w:rPr>
                <w:rFonts w:ascii="Calibri" w:eastAsia="Times New Roman" w:hAnsi="Calibri" w:cs="Calibri"/>
                <w:i/>
                <w:iCs/>
                <w:color w:val="000000"/>
              </w:rPr>
              <w:t>Alvorlige kontraktsbrudd medfølgende lange kostbare rettssaker og store erstatninger</w:t>
            </w:r>
          </w:p>
        </w:tc>
      </w:tr>
      <w:tr w:rsidR="00346CD8" w:rsidRPr="00146DCE" w:rsidTr="00346CD8">
        <w:trPr>
          <w:trHeight w:val="2584"/>
        </w:trPr>
        <w:tc>
          <w:tcPr>
            <w:tcW w:w="222" w:type="pct"/>
            <w:vMerge/>
            <w:tcBorders>
              <w:top w:val="nil"/>
              <w:left w:val="single" w:sz="4" w:space="0" w:color="auto"/>
              <w:bottom w:val="single" w:sz="4" w:space="0" w:color="auto"/>
              <w:right w:val="single" w:sz="4" w:space="0" w:color="auto"/>
            </w:tcBorders>
            <w:hideMark/>
          </w:tcPr>
          <w:p w:rsidR="00E4354D" w:rsidRPr="00146DCE" w:rsidRDefault="00E4354D" w:rsidP="00534299">
            <w:pPr>
              <w:spacing w:after="0" w:line="240" w:lineRule="auto"/>
              <w:jc w:val="center"/>
              <w:rPr>
                <w:rFonts w:ascii="Calibri" w:eastAsia="Times New Roman" w:hAnsi="Calibri" w:cs="Calibri"/>
                <w:b/>
                <w:bCs/>
                <w:color w:val="000000"/>
                <w:sz w:val="24"/>
                <w:szCs w:val="24"/>
              </w:rPr>
            </w:pPr>
          </w:p>
        </w:tc>
        <w:tc>
          <w:tcPr>
            <w:tcW w:w="802" w:type="pct"/>
            <w:tcBorders>
              <w:top w:val="nil"/>
              <w:left w:val="nil"/>
              <w:bottom w:val="single" w:sz="4" w:space="0" w:color="auto"/>
              <w:right w:val="single" w:sz="4" w:space="0" w:color="auto"/>
            </w:tcBorders>
            <w:shd w:val="clear" w:color="000000" w:fill="DDEBF7"/>
            <w:hideMark/>
          </w:tcPr>
          <w:p w:rsidR="00E4354D" w:rsidRPr="00146DCE" w:rsidRDefault="00E4354D" w:rsidP="00534299">
            <w:pPr>
              <w:spacing w:after="0" w:line="240" w:lineRule="auto"/>
              <w:jc w:val="center"/>
              <w:rPr>
                <w:rFonts w:ascii="Calibri" w:eastAsia="Times New Roman" w:hAnsi="Calibri" w:cs="Calibri"/>
                <w:b/>
                <w:bCs/>
                <w:color w:val="000000"/>
              </w:rPr>
            </w:pPr>
            <w:r w:rsidRPr="00146DCE">
              <w:rPr>
                <w:rFonts w:ascii="Calibri" w:eastAsia="Times New Roman" w:hAnsi="Calibri" w:cs="Calibri"/>
                <w:b/>
                <w:bCs/>
                <w:color w:val="000000"/>
              </w:rPr>
              <w:t>Brudd på lovverk</w:t>
            </w:r>
          </w:p>
        </w:tc>
        <w:tc>
          <w:tcPr>
            <w:tcW w:w="796" w:type="pct"/>
            <w:tcBorders>
              <w:top w:val="nil"/>
              <w:left w:val="nil"/>
              <w:bottom w:val="single" w:sz="4" w:space="0" w:color="auto"/>
              <w:right w:val="single" w:sz="4" w:space="0" w:color="auto"/>
            </w:tcBorders>
            <w:shd w:val="clear" w:color="auto" w:fill="auto"/>
            <w:hideMark/>
          </w:tcPr>
          <w:p w:rsidR="00E4354D" w:rsidRPr="00146DCE" w:rsidRDefault="00E4354D" w:rsidP="00534299">
            <w:pPr>
              <w:spacing w:after="0" w:line="240" w:lineRule="auto"/>
              <w:rPr>
                <w:rFonts w:ascii="Calibri" w:eastAsia="Times New Roman" w:hAnsi="Calibri" w:cs="Calibri"/>
                <w:i/>
                <w:iCs/>
                <w:color w:val="000000"/>
              </w:rPr>
            </w:pPr>
            <w:r w:rsidRPr="00146DCE">
              <w:rPr>
                <w:rFonts w:ascii="Calibri" w:eastAsia="Times New Roman" w:hAnsi="Calibri" w:cs="Calibri"/>
                <w:i/>
                <w:iCs/>
                <w:color w:val="000000"/>
              </w:rPr>
              <w:t>Pålegg om utbedring</w:t>
            </w:r>
          </w:p>
        </w:tc>
        <w:tc>
          <w:tcPr>
            <w:tcW w:w="863" w:type="pct"/>
            <w:tcBorders>
              <w:top w:val="nil"/>
              <w:left w:val="nil"/>
              <w:bottom w:val="single" w:sz="4" w:space="0" w:color="auto"/>
              <w:right w:val="single" w:sz="4" w:space="0" w:color="auto"/>
            </w:tcBorders>
            <w:shd w:val="clear" w:color="auto" w:fill="auto"/>
            <w:hideMark/>
          </w:tcPr>
          <w:p w:rsidR="00E4354D" w:rsidRPr="00146DCE" w:rsidRDefault="00E4354D" w:rsidP="00E4354D">
            <w:pPr>
              <w:spacing w:after="0" w:line="240" w:lineRule="auto"/>
              <w:rPr>
                <w:rFonts w:ascii="Calibri" w:eastAsia="Times New Roman" w:hAnsi="Calibri" w:cs="Calibri"/>
                <w:i/>
                <w:iCs/>
                <w:color w:val="000000"/>
              </w:rPr>
            </w:pPr>
            <w:r w:rsidRPr="00146DCE">
              <w:rPr>
                <w:rFonts w:ascii="Calibri" w:eastAsia="Times New Roman" w:hAnsi="Calibri" w:cs="Calibri"/>
                <w:i/>
                <w:iCs/>
                <w:color w:val="000000"/>
              </w:rPr>
              <w:t xml:space="preserve">Forelegg eller påtale som relateres til enkelthendelse. Kan innebære endringer av praksis i </w:t>
            </w:r>
            <w:r>
              <w:rPr>
                <w:rFonts w:ascii="Calibri" w:eastAsia="Times New Roman" w:hAnsi="Calibri" w:cs="Calibri"/>
                <w:i/>
                <w:iCs/>
                <w:color w:val="000000"/>
              </w:rPr>
              <w:t>&lt;virksomhet&gt;</w:t>
            </w:r>
            <w:r w:rsidRPr="00146DCE">
              <w:rPr>
                <w:rFonts w:ascii="Calibri" w:eastAsia="Times New Roman" w:hAnsi="Calibri" w:cs="Calibri"/>
                <w:i/>
                <w:iCs/>
                <w:color w:val="000000"/>
              </w:rPr>
              <w:t xml:space="preserve"> </w:t>
            </w:r>
          </w:p>
        </w:tc>
        <w:tc>
          <w:tcPr>
            <w:tcW w:w="1155" w:type="pct"/>
            <w:tcBorders>
              <w:top w:val="nil"/>
              <w:left w:val="nil"/>
              <w:bottom w:val="single" w:sz="4" w:space="0" w:color="auto"/>
              <w:right w:val="single" w:sz="4" w:space="0" w:color="auto"/>
            </w:tcBorders>
            <w:shd w:val="clear" w:color="auto" w:fill="auto"/>
            <w:hideMark/>
          </w:tcPr>
          <w:p w:rsidR="00E4354D" w:rsidRPr="00146DCE" w:rsidRDefault="00E4354D" w:rsidP="001331CC">
            <w:pPr>
              <w:spacing w:after="0" w:line="240" w:lineRule="auto"/>
              <w:rPr>
                <w:rFonts w:ascii="Calibri" w:eastAsia="Times New Roman" w:hAnsi="Calibri" w:cs="Calibri"/>
                <w:i/>
                <w:iCs/>
                <w:color w:val="000000"/>
              </w:rPr>
            </w:pPr>
            <w:r w:rsidRPr="00146DCE">
              <w:rPr>
                <w:rFonts w:ascii="Calibri" w:eastAsia="Times New Roman" w:hAnsi="Calibri" w:cs="Calibri"/>
                <w:i/>
                <w:iCs/>
                <w:color w:val="000000"/>
              </w:rPr>
              <w:t>Dom med sanksjoner og</w:t>
            </w:r>
            <w:r w:rsidR="001331CC">
              <w:rPr>
                <w:rFonts w:ascii="Calibri" w:eastAsia="Times New Roman" w:hAnsi="Calibri" w:cs="Calibri"/>
                <w:i/>
                <w:iCs/>
                <w:color w:val="000000"/>
              </w:rPr>
              <w:t>/</w:t>
            </w:r>
            <w:r w:rsidRPr="00146DCE">
              <w:rPr>
                <w:rFonts w:ascii="Calibri" w:eastAsia="Times New Roman" w:hAnsi="Calibri" w:cs="Calibri"/>
                <w:i/>
                <w:iCs/>
                <w:color w:val="000000"/>
              </w:rPr>
              <w:t xml:space="preserve">eller bøter. Kan innebære endringer av praksis i </w:t>
            </w:r>
            <w:r>
              <w:rPr>
                <w:rFonts w:ascii="Calibri" w:eastAsia="Times New Roman" w:hAnsi="Calibri" w:cs="Calibri"/>
                <w:i/>
                <w:iCs/>
                <w:color w:val="000000"/>
              </w:rPr>
              <w:t>&lt;virksomhet&gt;.</w:t>
            </w:r>
          </w:p>
        </w:tc>
        <w:tc>
          <w:tcPr>
            <w:tcW w:w="1161" w:type="pct"/>
            <w:tcBorders>
              <w:top w:val="nil"/>
              <w:left w:val="nil"/>
              <w:bottom w:val="single" w:sz="4" w:space="0" w:color="auto"/>
              <w:right w:val="single" w:sz="4" w:space="0" w:color="auto"/>
            </w:tcBorders>
            <w:shd w:val="clear" w:color="auto" w:fill="auto"/>
            <w:hideMark/>
          </w:tcPr>
          <w:p w:rsidR="00E4354D" w:rsidRPr="00146DCE" w:rsidRDefault="00E4354D" w:rsidP="00E4354D">
            <w:pPr>
              <w:spacing w:after="0" w:line="240" w:lineRule="auto"/>
              <w:rPr>
                <w:rFonts w:ascii="Calibri" w:eastAsia="Times New Roman" w:hAnsi="Calibri" w:cs="Calibri"/>
                <w:i/>
                <w:iCs/>
                <w:color w:val="000000"/>
              </w:rPr>
            </w:pPr>
            <w:r w:rsidRPr="00146DCE">
              <w:rPr>
                <w:rFonts w:ascii="Calibri" w:eastAsia="Times New Roman" w:hAnsi="Calibri" w:cs="Calibri"/>
                <w:i/>
                <w:iCs/>
                <w:color w:val="000000"/>
              </w:rPr>
              <w:t xml:space="preserve">Dom knyttet til strukturelle feil eller mangler. Betydelig økonomiske sanksjoner og/ eller bøter. Mulige konsekvenser for ansvarsforhold i </w:t>
            </w:r>
            <w:r>
              <w:rPr>
                <w:rFonts w:ascii="Calibri" w:eastAsia="Times New Roman" w:hAnsi="Calibri" w:cs="Calibri"/>
                <w:i/>
                <w:iCs/>
                <w:color w:val="000000"/>
              </w:rPr>
              <w:t>&lt;virksomhet&gt;</w:t>
            </w:r>
          </w:p>
        </w:tc>
      </w:tr>
    </w:tbl>
    <w:p w:rsidR="00E4354D" w:rsidRDefault="00E4354D" w:rsidP="00E4354D"/>
    <w:p w:rsidR="00E4354D" w:rsidRDefault="00E4354D" w:rsidP="00E4354D"/>
    <w:p w:rsidR="00346CD8" w:rsidRDefault="00346CD8" w:rsidP="00E4354D"/>
    <w:tbl>
      <w:tblPr>
        <w:tblW w:w="5035" w:type="pct"/>
        <w:tblInd w:w="-5" w:type="dxa"/>
        <w:tblLayout w:type="fixed"/>
        <w:tblCellMar>
          <w:left w:w="70" w:type="dxa"/>
          <w:right w:w="70" w:type="dxa"/>
        </w:tblCellMar>
        <w:tblLook w:val="04A0" w:firstRow="1" w:lastRow="0" w:firstColumn="1" w:lastColumn="0" w:noHBand="0" w:noVBand="1"/>
      </w:tblPr>
      <w:tblGrid>
        <w:gridCol w:w="516"/>
        <w:gridCol w:w="2571"/>
        <w:gridCol w:w="1287"/>
        <w:gridCol w:w="1287"/>
        <w:gridCol w:w="1732"/>
        <w:gridCol w:w="1732"/>
      </w:tblGrid>
      <w:tr w:rsidR="00E4354D" w:rsidRPr="00146DCE" w:rsidTr="00346CD8">
        <w:trPr>
          <w:trHeight w:val="1090"/>
        </w:trPr>
        <w:tc>
          <w:tcPr>
            <w:tcW w:w="282" w:type="pct"/>
            <w:tcBorders>
              <w:top w:val="single" w:sz="4" w:space="0" w:color="auto"/>
              <w:left w:val="single" w:sz="4" w:space="0" w:color="auto"/>
              <w:bottom w:val="single" w:sz="4" w:space="0" w:color="auto"/>
              <w:right w:val="single" w:sz="4" w:space="0" w:color="auto"/>
            </w:tcBorders>
            <w:shd w:val="clear" w:color="000000" w:fill="DDEBF7"/>
            <w:noWrap/>
            <w:textDirection w:val="btLr"/>
            <w:hideMark/>
          </w:tcPr>
          <w:p w:rsidR="00E4354D" w:rsidRPr="00146DCE" w:rsidRDefault="00E4354D" w:rsidP="00534299">
            <w:pPr>
              <w:spacing w:after="0" w:line="240" w:lineRule="auto"/>
              <w:jc w:val="center"/>
              <w:rPr>
                <w:rFonts w:ascii="Calibri" w:eastAsia="Times New Roman" w:hAnsi="Calibri" w:cs="Calibri"/>
                <w:b/>
                <w:bCs/>
                <w:color w:val="000000"/>
                <w:sz w:val="24"/>
                <w:szCs w:val="24"/>
              </w:rPr>
            </w:pPr>
            <w:r w:rsidRPr="00146DCE">
              <w:rPr>
                <w:rFonts w:ascii="Calibri" w:eastAsia="Times New Roman" w:hAnsi="Calibri" w:cs="Calibri"/>
                <w:b/>
                <w:bCs/>
                <w:color w:val="000000"/>
                <w:sz w:val="24"/>
                <w:szCs w:val="24"/>
              </w:rPr>
              <w:t>Samfunn</w:t>
            </w:r>
          </w:p>
        </w:tc>
        <w:tc>
          <w:tcPr>
            <w:tcW w:w="1409" w:type="pct"/>
            <w:tcBorders>
              <w:top w:val="single" w:sz="4" w:space="0" w:color="auto"/>
              <w:left w:val="nil"/>
              <w:bottom w:val="single" w:sz="4" w:space="0" w:color="auto"/>
              <w:right w:val="single" w:sz="4" w:space="0" w:color="auto"/>
            </w:tcBorders>
            <w:shd w:val="clear" w:color="000000" w:fill="DDEBF7"/>
            <w:hideMark/>
          </w:tcPr>
          <w:p w:rsidR="00E4354D" w:rsidRPr="00146DCE" w:rsidRDefault="00E4354D" w:rsidP="00534299">
            <w:pPr>
              <w:spacing w:after="0" w:line="240" w:lineRule="auto"/>
              <w:rPr>
                <w:rFonts w:ascii="Calibri" w:eastAsia="Times New Roman" w:hAnsi="Calibri" w:cs="Calibri"/>
                <w:b/>
                <w:bCs/>
                <w:color w:val="000000"/>
              </w:rPr>
            </w:pPr>
            <w:r w:rsidRPr="00146DCE">
              <w:rPr>
                <w:rFonts w:ascii="Calibri" w:eastAsia="Times New Roman" w:hAnsi="Calibri" w:cs="Calibri"/>
                <w:b/>
                <w:bCs/>
                <w:color w:val="000000"/>
              </w:rPr>
              <w:t>Nasjonal sikkerhet og suverenitet</w:t>
            </w:r>
          </w:p>
        </w:tc>
        <w:tc>
          <w:tcPr>
            <w:tcW w:w="705" w:type="pct"/>
            <w:tcBorders>
              <w:top w:val="single" w:sz="4" w:space="0" w:color="auto"/>
              <w:left w:val="nil"/>
              <w:bottom w:val="single" w:sz="4" w:space="0" w:color="auto"/>
              <w:right w:val="single" w:sz="4" w:space="0" w:color="auto"/>
            </w:tcBorders>
            <w:shd w:val="clear" w:color="auto" w:fill="auto"/>
            <w:hideMark/>
          </w:tcPr>
          <w:p w:rsidR="00E4354D" w:rsidRDefault="00E4354D" w:rsidP="00534299">
            <w:pPr>
              <w:spacing w:after="0" w:line="240" w:lineRule="auto"/>
              <w:rPr>
                <w:rFonts w:ascii="Calibri" w:eastAsia="Times New Roman" w:hAnsi="Calibri" w:cs="Calibri"/>
                <w:i/>
                <w:iCs/>
                <w:color w:val="000000"/>
              </w:rPr>
            </w:pPr>
            <w:r w:rsidRPr="00146DCE">
              <w:rPr>
                <w:rFonts w:ascii="Calibri" w:eastAsia="Times New Roman" w:hAnsi="Calibri" w:cs="Calibri"/>
                <w:i/>
                <w:iCs/>
                <w:color w:val="000000"/>
              </w:rPr>
              <w:t xml:space="preserve">Kan i noen grad medføre </w:t>
            </w:r>
            <w:proofErr w:type="spellStart"/>
            <w:r w:rsidRPr="00146DCE">
              <w:rPr>
                <w:rFonts w:ascii="Calibri" w:eastAsia="Times New Roman" w:hAnsi="Calibri" w:cs="Calibri"/>
                <w:i/>
                <w:iCs/>
                <w:color w:val="000000"/>
              </w:rPr>
              <w:t>skadefølge</w:t>
            </w:r>
            <w:proofErr w:type="spellEnd"/>
            <w:r w:rsidRPr="00146DCE">
              <w:rPr>
                <w:rFonts w:ascii="Calibri" w:eastAsia="Times New Roman" w:hAnsi="Calibri" w:cs="Calibri"/>
                <w:i/>
                <w:iCs/>
                <w:color w:val="000000"/>
              </w:rPr>
              <w:t>.</w:t>
            </w:r>
          </w:p>
          <w:p w:rsidR="00346CD8" w:rsidRPr="00146DCE" w:rsidRDefault="00346CD8" w:rsidP="00534299">
            <w:pPr>
              <w:spacing w:after="0" w:line="240" w:lineRule="auto"/>
              <w:rPr>
                <w:rFonts w:ascii="Calibri" w:eastAsia="Times New Roman" w:hAnsi="Calibri" w:cs="Calibri"/>
                <w:i/>
                <w:iCs/>
                <w:color w:val="000000"/>
              </w:rPr>
            </w:pPr>
          </w:p>
        </w:tc>
        <w:tc>
          <w:tcPr>
            <w:tcW w:w="705" w:type="pct"/>
            <w:tcBorders>
              <w:top w:val="single" w:sz="4" w:space="0" w:color="auto"/>
              <w:left w:val="nil"/>
              <w:bottom w:val="single" w:sz="4" w:space="0" w:color="auto"/>
              <w:right w:val="single" w:sz="4" w:space="0" w:color="auto"/>
            </w:tcBorders>
            <w:shd w:val="clear" w:color="auto" w:fill="auto"/>
            <w:hideMark/>
          </w:tcPr>
          <w:p w:rsidR="00E4354D" w:rsidRPr="00146DCE" w:rsidRDefault="00E4354D" w:rsidP="00534299">
            <w:pPr>
              <w:spacing w:after="0" w:line="240" w:lineRule="auto"/>
              <w:rPr>
                <w:rFonts w:ascii="Calibri" w:eastAsia="Times New Roman" w:hAnsi="Calibri" w:cs="Calibri"/>
                <w:i/>
                <w:iCs/>
                <w:color w:val="000000"/>
              </w:rPr>
            </w:pPr>
            <w:r w:rsidRPr="00146DCE">
              <w:rPr>
                <w:rFonts w:ascii="Calibri" w:eastAsia="Times New Roman" w:hAnsi="Calibri" w:cs="Calibri"/>
                <w:i/>
                <w:iCs/>
                <w:color w:val="000000"/>
              </w:rPr>
              <w:t>Kan skade.</w:t>
            </w:r>
          </w:p>
        </w:tc>
        <w:tc>
          <w:tcPr>
            <w:tcW w:w="949" w:type="pct"/>
            <w:tcBorders>
              <w:top w:val="single" w:sz="4" w:space="0" w:color="auto"/>
              <w:left w:val="nil"/>
              <w:bottom w:val="single" w:sz="4" w:space="0" w:color="auto"/>
              <w:right w:val="single" w:sz="4" w:space="0" w:color="auto"/>
            </w:tcBorders>
            <w:shd w:val="clear" w:color="auto" w:fill="auto"/>
            <w:hideMark/>
          </w:tcPr>
          <w:p w:rsidR="00E4354D" w:rsidRPr="00146DCE" w:rsidRDefault="00E4354D" w:rsidP="00534299">
            <w:pPr>
              <w:spacing w:after="0" w:line="240" w:lineRule="auto"/>
              <w:rPr>
                <w:rFonts w:ascii="Calibri" w:eastAsia="Times New Roman" w:hAnsi="Calibri" w:cs="Calibri"/>
                <w:i/>
                <w:iCs/>
                <w:color w:val="000000"/>
              </w:rPr>
            </w:pPr>
            <w:r w:rsidRPr="00146DCE">
              <w:rPr>
                <w:rFonts w:ascii="Calibri" w:eastAsia="Times New Roman" w:hAnsi="Calibri" w:cs="Calibri"/>
                <w:i/>
                <w:iCs/>
                <w:color w:val="000000"/>
              </w:rPr>
              <w:t>Alvorlig kan skade.</w:t>
            </w:r>
          </w:p>
        </w:tc>
        <w:tc>
          <w:tcPr>
            <w:tcW w:w="949" w:type="pct"/>
            <w:tcBorders>
              <w:top w:val="single" w:sz="4" w:space="0" w:color="auto"/>
              <w:left w:val="nil"/>
              <w:bottom w:val="single" w:sz="4" w:space="0" w:color="auto"/>
              <w:right w:val="single" w:sz="4" w:space="0" w:color="auto"/>
            </w:tcBorders>
            <w:shd w:val="clear" w:color="auto" w:fill="auto"/>
            <w:hideMark/>
          </w:tcPr>
          <w:p w:rsidR="00E4354D" w:rsidRPr="00146DCE" w:rsidRDefault="00E4354D" w:rsidP="00534299">
            <w:pPr>
              <w:spacing w:after="0" w:line="240" w:lineRule="auto"/>
              <w:rPr>
                <w:rFonts w:ascii="Calibri" w:eastAsia="Times New Roman" w:hAnsi="Calibri" w:cs="Calibri"/>
                <w:i/>
                <w:iCs/>
                <w:color w:val="000000"/>
              </w:rPr>
            </w:pPr>
            <w:r w:rsidRPr="00146DCE">
              <w:rPr>
                <w:rFonts w:ascii="Calibri" w:eastAsia="Times New Roman" w:hAnsi="Calibri" w:cs="Calibri"/>
                <w:i/>
                <w:iCs/>
                <w:color w:val="000000"/>
              </w:rPr>
              <w:t>Helt avgjørende skadefølger.</w:t>
            </w:r>
          </w:p>
        </w:tc>
      </w:tr>
      <w:tr w:rsidR="00E4354D" w:rsidRPr="00146DCE" w:rsidTr="00346CD8">
        <w:trPr>
          <w:trHeight w:val="1090"/>
        </w:trPr>
        <w:tc>
          <w:tcPr>
            <w:tcW w:w="282" w:type="pct"/>
            <w:vMerge w:val="restart"/>
            <w:tcBorders>
              <w:top w:val="nil"/>
              <w:left w:val="single" w:sz="4" w:space="0" w:color="auto"/>
              <w:bottom w:val="single" w:sz="4" w:space="0" w:color="auto"/>
              <w:right w:val="single" w:sz="4" w:space="0" w:color="auto"/>
            </w:tcBorders>
            <w:shd w:val="clear" w:color="000000" w:fill="DDEBF7"/>
            <w:noWrap/>
            <w:textDirection w:val="btLr"/>
            <w:hideMark/>
          </w:tcPr>
          <w:p w:rsidR="00E4354D" w:rsidRPr="00146DCE" w:rsidRDefault="00E4354D" w:rsidP="00534299">
            <w:pPr>
              <w:spacing w:after="0" w:line="240" w:lineRule="auto"/>
              <w:jc w:val="center"/>
              <w:rPr>
                <w:rFonts w:ascii="Calibri" w:eastAsia="Times New Roman" w:hAnsi="Calibri" w:cs="Calibri"/>
                <w:b/>
                <w:bCs/>
                <w:color w:val="000000"/>
                <w:sz w:val="24"/>
                <w:szCs w:val="24"/>
              </w:rPr>
            </w:pPr>
            <w:r w:rsidRPr="00146DCE">
              <w:rPr>
                <w:rFonts w:ascii="Calibri" w:eastAsia="Times New Roman" w:hAnsi="Calibri" w:cs="Calibri"/>
                <w:b/>
                <w:bCs/>
                <w:color w:val="000000"/>
                <w:sz w:val="24"/>
                <w:szCs w:val="24"/>
              </w:rPr>
              <w:t>Eksterne</w:t>
            </w:r>
          </w:p>
        </w:tc>
        <w:tc>
          <w:tcPr>
            <w:tcW w:w="1409" w:type="pct"/>
            <w:tcBorders>
              <w:top w:val="nil"/>
              <w:left w:val="nil"/>
              <w:bottom w:val="single" w:sz="4" w:space="0" w:color="auto"/>
              <w:right w:val="single" w:sz="4" w:space="0" w:color="auto"/>
            </w:tcBorders>
            <w:shd w:val="clear" w:color="000000" w:fill="DDEBF7"/>
            <w:vAlign w:val="center"/>
            <w:hideMark/>
          </w:tcPr>
          <w:p w:rsidR="00E4354D" w:rsidRPr="00146DCE" w:rsidRDefault="00E4354D" w:rsidP="00534299">
            <w:pPr>
              <w:spacing w:after="0" w:line="240" w:lineRule="auto"/>
              <w:rPr>
                <w:rFonts w:ascii="Calibri" w:eastAsia="Times New Roman" w:hAnsi="Calibri" w:cs="Calibri"/>
                <w:b/>
                <w:bCs/>
                <w:color w:val="000000"/>
              </w:rPr>
            </w:pPr>
            <w:r>
              <w:rPr>
                <w:rFonts w:ascii="Calibri" w:hAnsi="Calibri" w:cs="Calibri"/>
                <w:b/>
                <w:bCs/>
                <w:color w:val="000000"/>
              </w:rPr>
              <w:t>Konsekvenser for behandlingsansvarlig</w:t>
            </w:r>
          </w:p>
        </w:tc>
        <w:tc>
          <w:tcPr>
            <w:tcW w:w="705" w:type="pct"/>
            <w:tcBorders>
              <w:top w:val="nil"/>
              <w:left w:val="nil"/>
              <w:bottom w:val="single" w:sz="4" w:space="0" w:color="auto"/>
              <w:right w:val="single" w:sz="4" w:space="0" w:color="auto"/>
            </w:tcBorders>
            <w:shd w:val="clear" w:color="auto" w:fill="auto"/>
            <w:hideMark/>
          </w:tcPr>
          <w:p w:rsidR="00E4354D" w:rsidRPr="00146DCE" w:rsidRDefault="00E4354D" w:rsidP="00534299">
            <w:pPr>
              <w:spacing w:after="0" w:line="240" w:lineRule="auto"/>
              <w:rPr>
                <w:rFonts w:ascii="Calibri" w:eastAsia="Times New Roman" w:hAnsi="Calibri" w:cs="Calibri"/>
                <w:color w:val="000000"/>
              </w:rPr>
            </w:pPr>
            <w:r w:rsidRPr="00146DCE">
              <w:rPr>
                <w:rFonts w:ascii="Calibri" w:eastAsia="Times New Roman" w:hAnsi="Calibri" w:cs="Calibri"/>
                <w:color w:val="000000"/>
              </w:rPr>
              <w:t> </w:t>
            </w:r>
          </w:p>
        </w:tc>
        <w:tc>
          <w:tcPr>
            <w:tcW w:w="705" w:type="pct"/>
            <w:tcBorders>
              <w:top w:val="nil"/>
              <w:left w:val="nil"/>
              <w:bottom w:val="single" w:sz="4" w:space="0" w:color="auto"/>
              <w:right w:val="single" w:sz="4" w:space="0" w:color="auto"/>
            </w:tcBorders>
            <w:shd w:val="clear" w:color="auto" w:fill="auto"/>
            <w:hideMark/>
          </w:tcPr>
          <w:p w:rsidR="00E4354D" w:rsidRPr="00146DCE" w:rsidRDefault="00E4354D" w:rsidP="00534299">
            <w:pPr>
              <w:spacing w:after="0" w:line="240" w:lineRule="auto"/>
              <w:rPr>
                <w:rFonts w:ascii="Calibri" w:eastAsia="Times New Roman" w:hAnsi="Calibri" w:cs="Calibri"/>
                <w:color w:val="000000"/>
              </w:rPr>
            </w:pPr>
            <w:r w:rsidRPr="00146DCE">
              <w:rPr>
                <w:rFonts w:ascii="Calibri" w:eastAsia="Times New Roman" w:hAnsi="Calibri" w:cs="Calibri"/>
                <w:color w:val="000000"/>
              </w:rPr>
              <w:t> </w:t>
            </w:r>
          </w:p>
        </w:tc>
        <w:tc>
          <w:tcPr>
            <w:tcW w:w="949" w:type="pct"/>
            <w:tcBorders>
              <w:top w:val="nil"/>
              <w:left w:val="nil"/>
              <w:bottom w:val="single" w:sz="4" w:space="0" w:color="auto"/>
              <w:right w:val="single" w:sz="4" w:space="0" w:color="auto"/>
            </w:tcBorders>
            <w:shd w:val="clear" w:color="auto" w:fill="auto"/>
            <w:hideMark/>
          </w:tcPr>
          <w:p w:rsidR="00E4354D" w:rsidRPr="00146DCE" w:rsidRDefault="00E4354D" w:rsidP="00534299">
            <w:pPr>
              <w:spacing w:after="0" w:line="240" w:lineRule="auto"/>
              <w:rPr>
                <w:rFonts w:ascii="Calibri" w:eastAsia="Times New Roman" w:hAnsi="Calibri" w:cs="Calibri"/>
                <w:color w:val="000000"/>
              </w:rPr>
            </w:pPr>
            <w:r w:rsidRPr="00146DCE">
              <w:rPr>
                <w:rFonts w:ascii="Calibri" w:eastAsia="Times New Roman" w:hAnsi="Calibri" w:cs="Calibri"/>
                <w:color w:val="000000"/>
              </w:rPr>
              <w:t> </w:t>
            </w:r>
          </w:p>
        </w:tc>
        <w:tc>
          <w:tcPr>
            <w:tcW w:w="949" w:type="pct"/>
            <w:tcBorders>
              <w:top w:val="nil"/>
              <w:left w:val="nil"/>
              <w:bottom w:val="single" w:sz="4" w:space="0" w:color="auto"/>
              <w:right w:val="single" w:sz="4" w:space="0" w:color="auto"/>
            </w:tcBorders>
            <w:shd w:val="clear" w:color="auto" w:fill="auto"/>
            <w:hideMark/>
          </w:tcPr>
          <w:p w:rsidR="00E4354D" w:rsidRPr="00146DCE" w:rsidRDefault="00E4354D" w:rsidP="00534299">
            <w:pPr>
              <w:spacing w:after="0" w:line="240" w:lineRule="auto"/>
              <w:rPr>
                <w:rFonts w:ascii="Calibri" w:eastAsia="Times New Roman" w:hAnsi="Calibri" w:cs="Calibri"/>
                <w:color w:val="000000"/>
              </w:rPr>
            </w:pPr>
            <w:r w:rsidRPr="00146DCE">
              <w:rPr>
                <w:rFonts w:ascii="Calibri" w:eastAsia="Times New Roman" w:hAnsi="Calibri" w:cs="Calibri"/>
                <w:color w:val="000000"/>
              </w:rPr>
              <w:t> </w:t>
            </w:r>
          </w:p>
        </w:tc>
      </w:tr>
      <w:tr w:rsidR="00E4354D" w:rsidRPr="00146DCE" w:rsidTr="00346CD8">
        <w:trPr>
          <w:trHeight w:val="1090"/>
        </w:trPr>
        <w:tc>
          <w:tcPr>
            <w:tcW w:w="282" w:type="pct"/>
            <w:vMerge/>
            <w:tcBorders>
              <w:top w:val="nil"/>
              <w:left w:val="single" w:sz="4" w:space="0" w:color="auto"/>
              <w:bottom w:val="single" w:sz="4" w:space="0" w:color="auto"/>
              <w:right w:val="single" w:sz="4" w:space="0" w:color="auto"/>
            </w:tcBorders>
            <w:hideMark/>
          </w:tcPr>
          <w:p w:rsidR="00E4354D" w:rsidRPr="00146DCE" w:rsidRDefault="00E4354D" w:rsidP="00534299">
            <w:pPr>
              <w:spacing w:after="0" w:line="240" w:lineRule="auto"/>
              <w:rPr>
                <w:rFonts w:ascii="Calibri" w:eastAsia="Times New Roman" w:hAnsi="Calibri" w:cs="Calibri"/>
                <w:b/>
                <w:bCs/>
                <w:color w:val="000000"/>
                <w:sz w:val="24"/>
                <w:szCs w:val="24"/>
              </w:rPr>
            </w:pPr>
          </w:p>
        </w:tc>
        <w:tc>
          <w:tcPr>
            <w:tcW w:w="1409" w:type="pct"/>
            <w:tcBorders>
              <w:top w:val="nil"/>
              <w:left w:val="nil"/>
              <w:bottom w:val="single" w:sz="4" w:space="0" w:color="auto"/>
              <w:right w:val="single" w:sz="4" w:space="0" w:color="auto"/>
            </w:tcBorders>
            <w:shd w:val="clear" w:color="000000" w:fill="DDEBF7"/>
            <w:vAlign w:val="center"/>
            <w:hideMark/>
          </w:tcPr>
          <w:p w:rsidR="00E4354D" w:rsidRPr="00146DCE" w:rsidRDefault="00E4354D" w:rsidP="00534299">
            <w:pPr>
              <w:spacing w:after="0" w:line="240" w:lineRule="auto"/>
              <w:rPr>
                <w:rFonts w:ascii="Calibri" w:eastAsia="Times New Roman" w:hAnsi="Calibri" w:cs="Calibri"/>
                <w:b/>
                <w:bCs/>
                <w:color w:val="000000"/>
              </w:rPr>
            </w:pPr>
            <w:r>
              <w:rPr>
                <w:rFonts w:ascii="Calibri" w:hAnsi="Calibri" w:cs="Calibri"/>
                <w:b/>
                <w:bCs/>
                <w:color w:val="000000"/>
              </w:rPr>
              <w:t>Konsekvenser for underleverandør</w:t>
            </w:r>
          </w:p>
        </w:tc>
        <w:tc>
          <w:tcPr>
            <w:tcW w:w="705" w:type="pct"/>
            <w:tcBorders>
              <w:top w:val="nil"/>
              <w:left w:val="nil"/>
              <w:bottom w:val="single" w:sz="4" w:space="0" w:color="auto"/>
              <w:right w:val="single" w:sz="4" w:space="0" w:color="auto"/>
            </w:tcBorders>
            <w:shd w:val="clear" w:color="auto" w:fill="auto"/>
            <w:hideMark/>
          </w:tcPr>
          <w:p w:rsidR="00E4354D" w:rsidRPr="00146DCE" w:rsidRDefault="00E4354D" w:rsidP="00534299">
            <w:pPr>
              <w:spacing w:after="0" w:line="240" w:lineRule="auto"/>
              <w:rPr>
                <w:rFonts w:ascii="Calibri" w:eastAsia="Times New Roman" w:hAnsi="Calibri" w:cs="Calibri"/>
                <w:color w:val="000000"/>
              </w:rPr>
            </w:pPr>
            <w:r w:rsidRPr="00146DCE">
              <w:rPr>
                <w:rFonts w:ascii="Calibri" w:eastAsia="Times New Roman" w:hAnsi="Calibri" w:cs="Calibri"/>
                <w:color w:val="000000"/>
              </w:rPr>
              <w:t> </w:t>
            </w:r>
          </w:p>
        </w:tc>
        <w:tc>
          <w:tcPr>
            <w:tcW w:w="705" w:type="pct"/>
            <w:tcBorders>
              <w:top w:val="nil"/>
              <w:left w:val="nil"/>
              <w:bottom w:val="single" w:sz="4" w:space="0" w:color="auto"/>
              <w:right w:val="single" w:sz="4" w:space="0" w:color="auto"/>
            </w:tcBorders>
            <w:shd w:val="clear" w:color="auto" w:fill="auto"/>
            <w:hideMark/>
          </w:tcPr>
          <w:p w:rsidR="00E4354D" w:rsidRPr="00146DCE" w:rsidRDefault="00E4354D" w:rsidP="00534299">
            <w:pPr>
              <w:spacing w:after="0" w:line="240" w:lineRule="auto"/>
              <w:rPr>
                <w:rFonts w:ascii="Calibri" w:eastAsia="Times New Roman" w:hAnsi="Calibri" w:cs="Calibri"/>
                <w:color w:val="000000"/>
              </w:rPr>
            </w:pPr>
            <w:r w:rsidRPr="00146DCE">
              <w:rPr>
                <w:rFonts w:ascii="Calibri" w:eastAsia="Times New Roman" w:hAnsi="Calibri" w:cs="Calibri"/>
                <w:color w:val="000000"/>
              </w:rPr>
              <w:t> </w:t>
            </w:r>
          </w:p>
        </w:tc>
        <w:tc>
          <w:tcPr>
            <w:tcW w:w="949" w:type="pct"/>
            <w:tcBorders>
              <w:top w:val="nil"/>
              <w:left w:val="nil"/>
              <w:bottom w:val="single" w:sz="4" w:space="0" w:color="auto"/>
              <w:right w:val="single" w:sz="4" w:space="0" w:color="auto"/>
            </w:tcBorders>
            <w:shd w:val="clear" w:color="auto" w:fill="auto"/>
            <w:hideMark/>
          </w:tcPr>
          <w:p w:rsidR="00E4354D" w:rsidRPr="00146DCE" w:rsidRDefault="00E4354D" w:rsidP="00534299">
            <w:pPr>
              <w:spacing w:after="0" w:line="240" w:lineRule="auto"/>
              <w:rPr>
                <w:rFonts w:ascii="Calibri" w:eastAsia="Times New Roman" w:hAnsi="Calibri" w:cs="Calibri"/>
                <w:color w:val="000000"/>
              </w:rPr>
            </w:pPr>
            <w:r w:rsidRPr="00146DCE">
              <w:rPr>
                <w:rFonts w:ascii="Calibri" w:eastAsia="Times New Roman" w:hAnsi="Calibri" w:cs="Calibri"/>
                <w:color w:val="000000"/>
              </w:rPr>
              <w:t> </w:t>
            </w:r>
          </w:p>
        </w:tc>
        <w:tc>
          <w:tcPr>
            <w:tcW w:w="949" w:type="pct"/>
            <w:tcBorders>
              <w:top w:val="nil"/>
              <w:left w:val="nil"/>
              <w:bottom w:val="single" w:sz="4" w:space="0" w:color="auto"/>
              <w:right w:val="single" w:sz="4" w:space="0" w:color="auto"/>
            </w:tcBorders>
            <w:shd w:val="clear" w:color="auto" w:fill="auto"/>
            <w:hideMark/>
          </w:tcPr>
          <w:p w:rsidR="00E4354D" w:rsidRPr="00146DCE" w:rsidRDefault="00E4354D" w:rsidP="00534299">
            <w:pPr>
              <w:spacing w:after="0" w:line="240" w:lineRule="auto"/>
              <w:rPr>
                <w:rFonts w:ascii="Calibri" w:eastAsia="Times New Roman" w:hAnsi="Calibri" w:cs="Calibri"/>
                <w:color w:val="000000"/>
              </w:rPr>
            </w:pPr>
            <w:r w:rsidRPr="00146DCE">
              <w:rPr>
                <w:rFonts w:ascii="Calibri" w:eastAsia="Times New Roman" w:hAnsi="Calibri" w:cs="Calibri"/>
                <w:color w:val="000000"/>
              </w:rPr>
              <w:t> </w:t>
            </w:r>
          </w:p>
        </w:tc>
      </w:tr>
      <w:tr w:rsidR="00E4354D" w:rsidRPr="00146DCE" w:rsidTr="00346CD8">
        <w:trPr>
          <w:trHeight w:val="1321"/>
        </w:trPr>
        <w:tc>
          <w:tcPr>
            <w:tcW w:w="282" w:type="pct"/>
            <w:vMerge/>
            <w:tcBorders>
              <w:top w:val="nil"/>
              <w:left w:val="single" w:sz="4" w:space="0" w:color="auto"/>
              <w:bottom w:val="single" w:sz="4" w:space="0" w:color="auto"/>
              <w:right w:val="single" w:sz="4" w:space="0" w:color="auto"/>
            </w:tcBorders>
            <w:hideMark/>
          </w:tcPr>
          <w:p w:rsidR="00E4354D" w:rsidRPr="00146DCE" w:rsidRDefault="00E4354D" w:rsidP="00534299">
            <w:pPr>
              <w:spacing w:after="0" w:line="240" w:lineRule="auto"/>
              <w:rPr>
                <w:rFonts w:ascii="Calibri" w:eastAsia="Times New Roman" w:hAnsi="Calibri" w:cs="Calibri"/>
                <w:b/>
                <w:bCs/>
                <w:color w:val="000000"/>
                <w:sz w:val="24"/>
                <w:szCs w:val="24"/>
              </w:rPr>
            </w:pPr>
          </w:p>
        </w:tc>
        <w:tc>
          <w:tcPr>
            <w:tcW w:w="1409" w:type="pct"/>
            <w:tcBorders>
              <w:top w:val="nil"/>
              <w:left w:val="nil"/>
              <w:bottom w:val="single" w:sz="4" w:space="0" w:color="auto"/>
              <w:right w:val="single" w:sz="4" w:space="0" w:color="auto"/>
            </w:tcBorders>
            <w:shd w:val="clear" w:color="000000" w:fill="DDEBF7"/>
            <w:vAlign w:val="center"/>
            <w:hideMark/>
          </w:tcPr>
          <w:p w:rsidR="00E4354D" w:rsidRPr="00146DCE" w:rsidRDefault="00E4354D" w:rsidP="00534299">
            <w:pPr>
              <w:spacing w:after="0" w:line="240" w:lineRule="auto"/>
              <w:rPr>
                <w:rFonts w:ascii="Calibri" w:eastAsia="Times New Roman" w:hAnsi="Calibri" w:cs="Calibri"/>
                <w:b/>
                <w:bCs/>
                <w:color w:val="000000"/>
              </w:rPr>
            </w:pPr>
            <w:r>
              <w:rPr>
                <w:rFonts w:ascii="Calibri" w:hAnsi="Calibri" w:cs="Calibri"/>
                <w:b/>
                <w:bCs/>
                <w:color w:val="000000"/>
              </w:rPr>
              <w:t xml:space="preserve">Konsekvenser for den registrerte </w:t>
            </w:r>
          </w:p>
        </w:tc>
        <w:tc>
          <w:tcPr>
            <w:tcW w:w="705" w:type="pct"/>
            <w:tcBorders>
              <w:top w:val="nil"/>
              <w:left w:val="nil"/>
              <w:bottom w:val="single" w:sz="4" w:space="0" w:color="auto"/>
              <w:right w:val="single" w:sz="4" w:space="0" w:color="auto"/>
            </w:tcBorders>
            <w:shd w:val="clear" w:color="auto" w:fill="auto"/>
            <w:noWrap/>
            <w:hideMark/>
          </w:tcPr>
          <w:p w:rsidR="00E4354D" w:rsidRPr="00146DCE" w:rsidRDefault="00E4354D" w:rsidP="00534299">
            <w:pPr>
              <w:spacing w:after="0" w:line="240" w:lineRule="auto"/>
              <w:rPr>
                <w:rFonts w:ascii="Calibri" w:eastAsia="Times New Roman" w:hAnsi="Calibri" w:cs="Calibri"/>
                <w:color w:val="000000"/>
              </w:rPr>
            </w:pPr>
            <w:r w:rsidRPr="00146DCE">
              <w:rPr>
                <w:rFonts w:ascii="Calibri" w:eastAsia="Times New Roman" w:hAnsi="Calibri" w:cs="Calibri"/>
                <w:color w:val="000000"/>
              </w:rPr>
              <w:t> </w:t>
            </w:r>
          </w:p>
        </w:tc>
        <w:tc>
          <w:tcPr>
            <w:tcW w:w="705" w:type="pct"/>
            <w:tcBorders>
              <w:top w:val="nil"/>
              <w:left w:val="nil"/>
              <w:bottom w:val="single" w:sz="4" w:space="0" w:color="auto"/>
              <w:right w:val="single" w:sz="4" w:space="0" w:color="auto"/>
            </w:tcBorders>
            <w:shd w:val="clear" w:color="auto" w:fill="auto"/>
            <w:noWrap/>
            <w:hideMark/>
          </w:tcPr>
          <w:p w:rsidR="00E4354D" w:rsidRPr="00146DCE" w:rsidRDefault="00E4354D" w:rsidP="00534299">
            <w:pPr>
              <w:spacing w:after="0" w:line="240" w:lineRule="auto"/>
              <w:rPr>
                <w:rFonts w:ascii="Calibri" w:eastAsia="Times New Roman" w:hAnsi="Calibri" w:cs="Calibri"/>
                <w:color w:val="000000"/>
              </w:rPr>
            </w:pPr>
            <w:r w:rsidRPr="00146DCE">
              <w:rPr>
                <w:rFonts w:ascii="Calibri" w:eastAsia="Times New Roman" w:hAnsi="Calibri" w:cs="Calibri"/>
                <w:color w:val="000000"/>
              </w:rPr>
              <w:t> </w:t>
            </w:r>
          </w:p>
        </w:tc>
        <w:tc>
          <w:tcPr>
            <w:tcW w:w="949" w:type="pct"/>
            <w:tcBorders>
              <w:top w:val="nil"/>
              <w:left w:val="nil"/>
              <w:bottom w:val="single" w:sz="4" w:space="0" w:color="auto"/>
              <w:right w:val="single" w:sz="4" w:space="0" w:color="auto"/>
            </w:tcBorders>
            <w:shd w:val="clear" w:color="auto" w:fill="auto"/>
            <w:noWrap/>
            <w:hideMark/>
          </w:tcPr>
          <w:p w:rsidR="00E4354D" w:rsidRPr="00146DCE" w:rsidRDefault="00E4354D" w:rsidP="00534299">
            <w:pPr>
              <w:spacing w:after="0" w:line="240" w:lineRule="auto"/>
              <w:rPr>
                <w:rFonts w:ascii="Calibri" w:eastAsia="Times New Roman" w:hAnsi="Calibri" w:cs="Calibri"/>
                <w:color w:val="000000"/>
              </w:rPr>
            </w:pPr>
            <w:r w:rsidRPr="00146DCE">
              <w:rPr>
                <w:rFonts w:ascii="Calibri" w:eastAsia="Times New Roman" w:hAnsi="Calibri" w:cs="Calibri"/>
                <w:color w:val="000000"/>
              </w:rPr>
              <w:t> </w:t>
            </w:r>
          </w:p>
        </w:tc>
        <w:tc>
          <w:tcPr>
            <w:tcW w:w="949" w:type="pct"/>
            <w:tcBorders>
              <w:top w:val="nil"/>
              <w:left w:val="nil"/>
              <w:bottom w:val="single" w:sz="4" w:space="0" w:color="auto"/>
              <w:right w:val="single" w:sz="4" w:space="0" w:color="auto"/>
            </w:tcBorders>
            <w:shd w:val="clear" w:color="auto" w:fill="auto"/>
            <w:noWrap/>
            <w:hideMark/>
          </w:tcPr>
          <w:p w:rsidR="00E4354D" w:rsidRPr="00146DCE" w:rsidRDefault="00E4354D" w:rsidP="00534299">
            <w:pPr>
              <w:spacing w:after="0" w:line="240" w:lineRule="auto"/>
              <w:rPr>
                <w:rFonts w:ascii="Calibri" w:eastAsia="Times New Roman" w:hAnsi="Calibri" w:cs="Calibri"/>
                <w:color w:val="000000"/>
              </w:rPr>
            </w:pPr>
            <w:r w:rsidRPr="00146DCE">
              <w:rPr>
                <w:rFonts w:ascii="Calibri" w:eastAsia="Times New Roman" w:hAnsi="Calibri" w:cs="Calibri"/>
                <w:color w:val="000000"/>
              </w:rPr>
              <w:t> </w:t>
            </w:r>
          </w:p>
        </w:tc>
      </w:tr>
    </w:tbl>
    <w:p w:rsidR="00164DB7" w:rsidRPr="00164DB7" w:rsidRDefault="00164DB7" w:rsidP="00164DB7"/>
    <w:sectPr w:rsidR="00164DB7" w:rsidRPr="00164DB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422" w:rsidRDefault="00074422" w:rsidP="00074422">
      <w:pPr>
        <w:spacing w:after="0" w:line="240" w:lineRule="auto"/>
      </w:pPr>
      <w:r>
        <w:separator/>
      </w:r>
    </w:p>
  </w:endnote>
  <w:endnote w:type="continuationSeparator" w:id="0">
    <w:p w:rsidR="00074422" w:rsidRDefault="00074422" w:rsidP="00074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372624"/>
      <w:docPartObj>
        <w:docPartGallery w:val="Page Numbers (Bottom of Page)"/>
        <w:docPartUnique/>
      </w:docPartObj>
    </w:sdtPr>
    <w:sdtEndPr/>
    <w:sdtContent>
      <w:p w:rsidR="0085013C" w:rsidRDefault="0085013C">
        <w:pPr>
          <w:pStyle w:val="Bunntekst"/>
          <w:jc w:val="right"/>
        </w:pPr>
        <w:r>
          <w:fldChar w:fldCharType="begin"/>
        </w:r>
        <w:r>
          <w:instrText>PAGE   \* MERGEFORMAT</w:instrText>
        </w:r>
        <w:r>
          <w:fldChar w:fldCharType="separate"/>
        </w:r>
        <w:r w:rsidR="006C0C96">
          <w:rPr>
            <w:noProof/>
          </w:rPr>
          <w:t>1</w:t>
        </w:r>
        <w:r>
          <w:fldChar w:fldCharType="end"/>
        </w:r>
      </w:p>
    </w:sdtContent>
  </w:sdt>
  <w:p w:rsidR="00074422" w:rsidRDefault="0007442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422" w:rsidRDefault="00074422" w:rsidP="00074422">
      <w:pPr>
        <w:spacing w:after="0" w:line="240" w:lineRule="auto"/>
      </w:pPr>
      <w:r>
        <w:separator/>
      </w:r>
    </w:p>
  </w:footnote>
  <w:footnote w:type="continuationSeparator" w:id="0">
    <w:p w:rsidR="00074422" w:rsidRDefault="00074422" w:rsidP="00074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546"/>
    </w:tblGrid>
    <w:tr w:rsidR="00074422" w:rsidRPr="00074422" w:rsidTr="00F177AC">
      <w:tc>
        <w:tcPr>
          <w:tcW w:w="6516" w:type="dxa"/>
        </w:tcPr>
        <w:p w:rsidR="00074422" w:rsidRPr="0085013C" w:rsidRDefault="0085013C" w:rsidP="00074422">
          <w:pPr>
            <w:pStyle w:val="Topptekst"/>
            <w:rPr>
              <w:sz w:val="20"/>
              <w:szCs w:val="20"/>
            </w:rPr>
          </w:pPr>
          <w:r w:rsidRPr="0085013C">
            <w:rPr>
              <w:sz w:val="20"/>
              <w:szCs w:val="20"/>
            </w:rPr>
            <w:t>Internkontroll &lt;Virksomhet&gt;</w:t>
          </w:r>
        </w:p>
      </w:tc>
      <w:tc>
        <w:tcPr>
          <w:tcW w:w="2546" w:type="dxa"/>
        </w:tcPr>
        <w:p w:rsidR="00074422" w:rsidRPr="0085013C" w:rsidRDefault="00074422" w:rsidP="00074422">
          <w:pPr>
            <w:pStyle w:val="Topptekst"/>
            <w:rPr>
              <w:sz w:val="20"/>
              <w:szCs w:val="20"/>
            </w:rPr>
          </w:pPr>
          <w:r w:rsidRPr="0085013C">
            <w:rPr>
              <w:sz w:val="20"/>
              <w:szCs w:val="20"/>
            </w:rPr>
            <w:t xml:space="preserve">Dato: </w:t>
          </w:r>
          <w:proofErr w:type="spellStart"/>
          <w:r w:rsidRPr="0085013C">
            <w:rPr>
              <w:sz w:val="20"/>
              <w:szCs w:val="20"/>
            </w:rPr>
            <w:t>dd.mm.yyyy</w:t>
          </w:r>
          <w:proofErr w:type="spellEnd"/>
        </w:p>
      </w:tc>
    </w:tr>
    <w:tr w:rsidR="00074422" w:rsidRPr="00074422" w:rsidTr="00F177AC">
      <w:tc>
        <w:tcPr>
          <w:tcW w:w="6516" w:type="dxa"/>
        </w:tcPr>
        <w:p w:rsidR="00074422" w:rsidRPr="0085013C" w:rsidRDefault="00AF28FB" w:rsidP="00E4354D">
          <w:pPr>
            <w:pStyle w:val="Topptekst"/>
            <w:rPr>
              <w:sz w:val="20"/>
              <w:szCs w:val="20"/>
            </w:rPr>
          </w:pPr>
          <w:r>
            <w:rPr>
              <w:sz w:val="20"/>
              <w:szCs w:val="20"/>
            </w:rPr>
            <w:t>Risiko</w:t>
          </w:r>
          <w:r w:rsidR="00E4354D">
            <w:rPr>
              <w:sz w:val="20"/>
              <w:szCs w:val="20"/>
            </w:rPr>
            <w:t>styring</w:t>
          </w:r>
        </w:p>
      </w:tc>
      <w:tc>
        <w:tcPr>
          <w:tcW w:w="2546" w:type="dxa"/>
        </w:tcPr>
        <w:p w:rsidR="00074422" w:rsidRPr="0085013C" w:rsidRDefault="00346CD8" w:rsidP="00074422">
          <w:pPr>
            <w:pStyle w:val="Topptekst"/>
            <w:rPr>
              <w:sz w:val="20"/>
              <w:szCs w:val="20"/>
            </w:rPr>
          </w:pPr>
          <w:r>
            <w:rPr>
              <w:sz w:val="20"/>
              <w:szCs w:val="20"/>
            </w:rPr>
            <w:t xml:space="preserve">Versjon: </w:t>
          </w:r>
          <w:r w:rsidR="00074422" w:rsidRPr="0085013C">
            <w:rPr>
              <w:sz w:val="20"/>
              <w:szCs w:val="20"/>
            </w:rPr>
            <w:t>xx</w:t>
          </w:r>
        </w:p>
      </w:tc>
    </w:tr>
    <w:tr w:rsidR="00074422" w:rsidRPr="00074422" w:rsidTr="00F177AC">
      <w:tc>
        <w:tcPr>
          <w:tcW w:w="6516" w:type="dxa"/>
        </w:tcPr>
        <w:p w:rsidR="00074422" w:rsidRPr="0085013C" w:rsidRDefault="0085013C" w:rsidP="00E4354D">
          <w:pPr>
            <w:pStyle w:val="Topptekst"/>
            <w:rPr>
              <w:sz w:val="20"/>
              <w:szCs w:val="20"/>
            </w:rPr>
          </w:pPr>
          <w:r w:rsidRPr="0085013C">
            <w:rPr>
              <w:sz w:val="20"/>
              <w:szCs w:val="20"/>
            </w:rPr>
            <w:t xml:space="preserve">Type: </w:t>
          </w:r>
          <w:r w:rsidR="00E4354D">
            <w:rPr>
              <w:sz w:val="20"/>
              <w:szCs w:val="20"/>
            </w:rPr>
            <w:t>Styrende</w:t>
          </w:r>
        </w:p>
      </w:tc>
      <w:tc>
        <w:tcPr>
          <w:tcW w:w="2546" w:type="dxa"/>
        </w:tcPr>
        <w:p w:rsidR="00074422" w:rsidRPr="0085013C" w:rsidRDefault="00074422" w:rsidP="00074422">
          <w:pPr>
            <w:pStyle w:val="Topptekst"/>
            <w:rPr>
              <w:sz w:val="20"/>
              <w:szCs w:val="20"/>
            </w:rPr>
          </w:pPr>
          <w:r w:rsidRPr="0085013C">
            <w:rPr>
              <w:sz w:val="20"/>
              <w:szCs w:val="20"/>
            </w:rPr>
            <w:t>Dokumentansvarlig: NN</w:t>
          </w:r>
        </w:p>
      </w:tc>
    </w:tr>
  </w:tbl>
  <w:p w:rsidR="00074422" w:rsidRDefault="00074422" w:rsidP="00346CD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F76"/>
    <w:multiLevelType w:val="hybridMultilevel"/>
    <w:tmpl w:val="41C0E9E6"/>
    <w:lvl w:ilvl="0" w:tplc="003E8BC8">
      <w:start w:val="1"/>
      <w:numFmt w:val="bullet"/>
      <w:pStyle w:val="SSIBull1"/>
      <w:lvlText w:val=""/>
      <w:lvlJc w:val="left"/>
      <w:pPr>
        <w:tabs>
          <w:tab w:val="num" w:pos="1211"/>
        </w:tabs>
        <w:ind w:left="1208" w:hanging="357"/>
      </w:pPr>
      <w:rPr>
        <w:rFonts w:ascii="Wingdings" w:hAnsi="Wingdings" w:hint="default"/>
        <w:color w:val="11609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851A8"/>
    <w:multiLevelType w:val="hybridMultilevel"/>
    <w:tmpl w:val="197E77E2"/>
    <w:lvl w:ilvl="0" w:tplc="04140011">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5A5336E"/>
    <w:multiLevelType w:val="hybridMultilevel"/>
    <w:tmpl w:val="81E48074"/>
    <w:lvl w:ilvl="0" w:tplc="04090001">
      <w:start w:val="1"/>
      <w:numFmt w:val="bullet"/>
      <w:lvlText w:val=""/>
      <w:lvlJc w:val="left"/>
      <w:pPr>
        <w:tabs>
          <w:tab w:val="num" w:pos="1080"/>
        </w:tabs>
        <w:ind w:left="1080" w:hanging="360"/>
      </w:pPr>
      <w:rPr>
        <w:rFonts w:ascii="Symbol" w:hAnsi="Symbol" w:hint="default"/>
      </w:rPr>
    </w:lvl>
    <w:lvl w:ilvl="1" w:tplc="4E7C7722">
      <w:start w:val="1"/>
      <w:numFmt w:val="decimal"/>
      <w:lvlText w:val="%2."/>
      <w:lvlJc w:val="left"/>
      <w:pPr>
        <w:tabs>
          <w:tab w:val="num" w:pos="2145"/>
        </w:tabs>
        <w:ind w:left="2145" w:hanging="705"/>
      </w:pPr>
      <w:rPr>
        <w:rFonts w:hint="default"/>
        <w:b/>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466AD9"/>
    <w:multiLevelType w:val="hybridMultilevel"/>
    <w:tmpl w:val="AE766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40948"/>
    <w:multiLevelType w:val="hybridMultilevel"/>
    <w:tmpl w:val="8CB45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9D05DB"/>
    <w:multiLevelType w:val="hybridMultilevel"/>
    <w:tmpl w:val="AAC605B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9A256F"/>
    <w:multiLevelType w:val="hybridMultilevel"/>
    <w:tmpl w:val="B3266422"/>
    <w:lvl w:ilvl="0" w:tplc="B20C12D6">
      <w:start w:val="1"/>
      <w:numFmt w:val="bullet"/>
      <w:pStyle w:val="SSIBull2"/>
      <w:lvlText w:val=""/>
      <w:lvlJc w:val="left"/>
      <w:pPr>
        <w:tabs>
          <w:tab w:val="num" w:pos="1701"/>
        </w:tabs>
        <w:ind w:left="1701" w:hanging="397"/>
      </w:pPr>
      <w:rPr>
        <w:rFonts w:ascii="Symbol" w:hAnsi="Symbol" w:hint="default"/>
        <w:color w:val="11609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204FB1"/>
    <w:multiLevelType w:val="hybridMultilevel"/>
    <w:tmpl w:val="ECA04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30522E"/>
    <w:multiLevelType w:val="hybridMultilevel"/>
    <w:tmpl w:val="F1086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EE4807"/>
    <w:multiLevelType w:val="hybridMultilevel"/>
    <w:tmpl w:val="D19AAC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AA07443"/>
    <w:multiLevelType w:val="hybridMultilevel"/>
    <w:tmpl w:val="15C20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E16D29"/>
    <w:multiLevelType w:val="hybridMultilevel"/>
    <w:tmpl w:val="FC525D1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36A812F0"/>
    <w:multiLevelType w:val="hybridMultilevel"/>
    <w:tmpl w:val="0AC0E8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A0F120C"/>
    <w:multiLevelType w:val="hybridMultilevel"/>
    <w:tmpl w:val="8572CAB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3BC4053D"/>
    <w:multiLevelType w:val="hybridMultilevel"/>
    <w:tmpl w:val="94E806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3D63A03"/>
    <w:multiLevelType w:val="hybridMultilevel"/>
    <w:tmpl w:val="E716BE10"/>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4C1D2C54"/>
    <w:multiLevelType w:val="hybridMultilevel"/>
    <w:tmpl w:val="D0C6C87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4E991739"/>
    <w:multiLevelType w:val="hybridMultilevel"/>
    <w:tmpl w:val="DAB4C1F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4FCF0B39"/>
    <w:multiLevelType w:val="hybridMultilevel"/>
    <w:tmpl w:val="81E48074"/>
    <w:lvl w:ilvl="0" w:tplc="04090001">
      <w:start w:val="1"/>
      <w:numFmt w:val="bullet"/>
      <w:lvlText w:val=""/>
      <w:lvlJc w:val="left"/>
      <w:pPr>
        <w:tabs>
          <w:tab w:val="num" w:pos="1440"/>
        </w:tabs>
        <w:ind w:left="1440" w:hanging="360"/>
      </w:pPr>
      <w:rPr>
        <w:rFonts w:ascii="Symbol" w:hAnsi="Symbol" w:hint="default"/>
      </w:rPr>
    </w:lvl>
    <w:lvl w:ilvl="1" w:tplc="4E7C7722">
      <w:start w:val="1"/>
      <w:numFmt w:val="decimal"/>
      <w:lvlText w:val="%2."/>
      <w:lvlJc w:val="left"/>
      <w:pPr>
        <w:tabs>
          <w:tab w:val="num" w:pos="2505"/>
        </w:tabs>
        <w:ind w:left="2505" w:hanging="705"/>
      </w:pPr>
      <w:rPr>
        <w:rFonts w:hint="default"/>
        <w:b/>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71C1849"/>
    <w:multiLevelType w:val="hybridMultilevel"/>
    <w:tmpl w:val="BD6414A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 w15:restartNumberingAfterBreak="0">
    <w:nsid w:val="5E8D1772"/>
    <w:multiLevelType w:val="hybridMultilevel"/>
    <w:tmpl w:val="29E0C7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90E174B"/>
    <w:multiLevelType w:val="hybridMultilevel"/>
    <w:tmpl w:val="8BD28488"/>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15:restartNumberingAfterBreak="0">
    <w:nsid w:val="6A6A23B6"/>
    <w:multiLevelType w:val="hybridMultilevel"/>
    <w:tmpl w:val="437C65F4"/>
    <w:lvl w:ilvl="0" w:tplc="FFFFFFFF">
      <w:start w:val="1"/>
      <w:numFmt w:val="bullet"/>
      <w:pStyle w:val="Bullet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C00B3C"/>
    <w:multiLevelType w:val="hybridMultilevel"/>
    <w:tmpl w:val="660C64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71617543"/>
    <w:multiLevelType w:val="hybridMultilevel"/>
    <w:tmpl w:val="DDD841B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66141A6"/>
    <w:multiLevelType w:val="hybridMultilevel"/>
    <w:tmpl w:val="A1BA0020"/>
    <w:name w:val="Datatilsynet"/>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EA0774"/>
    <w:multiLevelType w:val="hybridMultilevel"/>
    <w:tmpl w:val="3EC68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F34C91"/>
    <w:multiLevelType w:val="hybridMultilevel"/>
    <w:tmpl w:val="35BE06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25"/>
  </w:num>
  <w:num w:numId="3">
    <w:abstractNumId w:val="19"/>
  </w:num>
  <w:num w:numId="4">
    <w:abstractNumId w:val="13"/>
  </w:num>
  <w:num w:numId="5">
    <w:abstractNumId w:val="17"/>
  </w:num>
  <w:num w:numId="6">
    <w:abstractNumId w:val="0"/>
  </w:num>
  <w:num w:numId="7">
    <w:abstractNumId w:val="6"/>
  </w:num>
  <w:num w:numId="8">
    <w:abstractNumId w:val="5"/>
  </w:num>
  <w:num w:numId="9">
    <w:abstractNumId w:val="3"/>
  </w:num>
  <w:num w:numId="10">
    <w:abstractNumId w:val="7"/>
  </w:num>
  <w:num w:numId="11">
    <w:abstractNumId w:val="8"/>
  </w:num>
  <w:num w:numId="12">
    <w:abstractNumId w:val="16"/>
  </w:num>
  <w:num w:numId="13">
    <w:abstractNumId w:val="12"/>
  </w:num>
  <w:num w:numId="14">
    <w:abstractNumId w:val="2"/>
  </w:num>
  <w:num w:numId="15">
    <w:abstractNumId w:val="22"/>
  </w:num>
  <w:num w:numId="16">
    <w:abstractNumId w:val="27"/>
  </w:num>
  <w:num w:numId="17">
    <w:abstractNumId w:val="18"/>
  </w:num>
  <w:num w:numId="18">
    <w:abstractNumId w:val="4"/>
  </w:num>
  <w:num w:numId="19">
    <w:abstractNumId w:val="26"/>
  </w:num>
  <w:num w:numId="20">
    <w:abstractNumId w:val="10"/>
  </w:num>
  <w:num w:numId="21">
    <w:abstractNumId w:val="20"/>
  </w:num>
  <w:num w:numId="22">
    <w:abstractNumId w:val="15"/>
  </w:num>
  <w:num w:numId="23">
    <w:abstractNumId w:val="21"/>
  </w:num>
  <w:num w:numId="24">
    <w:abstractNumId w:val="9"/>
  </w:num>
  <w:num w:numId="25">
    <w:abstractNumId w:val="1"/>
  </w:num>
  <w:num w:numId="26">
    <w:abstractNumId w:val="11"/>
  </w:num>
  <w:num w:numId="27">
    <w:abstractNumId w:val="1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22"/>
    <w:rsid w:val="00035925"/>
    <w:rsid w:val="00074422"/>
    <w:rsid w:val="000A6868"/>
    <w:rsid w:val="00102875"/>
    <w:rsid w:val="00105C6B"/>
    <w:rsid w:val="00126F21"/>
    <w:rsid w:val="001331CC"/>
    <w:rsid w:val="00164DB7"/>
    <w:rsid w:val="001A14F8"/>
    <w:rsid w:val="00243D2F"/>
    <w:rsid w:val="00266ED0"/>
    <w:rsid w:val="00346CD8"/>
    <w:rsid w:val="00350680"/>
    <w:rsid w:val="00393A4F"/>
    <w:rsid w:val="003B4118"/>
    <w:rsid w:val="003D307F"/>
    <w:rsid w:val="00591EAC"/>
    <w:rsid w:val="005B0DB7"/>
    <w:rsid w:val="005D7D5A"/>
    <w:rsid w:val="00613F02"/>
    <w:rsid w:val="006C0C96"/>
    <w:rsid w:val="00777879"/>
    <w:rsid w:val="00780E53"/>
    <w:rsid w:val="00785FA9"/>
    <w:rsid w:val="007C5A3F"/>
    <w:rsid w:val="0085013C"/>
    <w:rsid w:val="00876AD7"/>
    <w:rsid w:val="008D4111"/>
    <w:rsid w:val="00A07367"/>
    <w:rsid w:val="00A564E9"/>
    <w:rsid w:val="00A57473"/>
    <w:rsid w:val="00AF28FB"/>
    <w:rsid w:val="00B820F6"/>
    <w:rsid w:val="00BD22FE"/>
    <w:rsid w:val="00BD2632"/>
    <w:rsid w:val="00BD43C1"/>
    <w:rsid w:val="00C44EDE"/>
    <w:rsid w:val="00C608AA"/>
    <w:rsid w:val="00C63D49"/>
    <w:rsid w:val="00CC69FC"/>
    <w:rsid w:val="00D15F98"/>
    <w:rsid w:val="00D93982"/>
    <w:rsid w:val="00DF5ED8"/>
    <w:rsid w:val="00E10B57"/>
    <w:rsid w:val="00E4354D"/>
    <w:rsid w:val="00E868B3"/>
    <w:rsid w:val="00EC7E94"/>
    <w:rsid w:val="00EF18D7"/>
    <w:rsid w:val="00EF3676"/>
    <w:rsid w:val="00FF17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6093D"/>
  <w15:chartTrackingRefBased/>
  <w15:docId w15:val="{DB18A3B2-AD00-456C-8544-1453E59C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aliases w:val="H1,Heading V"/>
    <w:basedOn w:val="Normal"/>
    <w:next w:val="Normal"/>
    <w:link w:val="Overskrift1Tegn"/>
    <w:uiPriority w:val="9"/>
    <w:qFormat/>
    <w:rsid w:val="000744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0744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5B0D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CC69F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H1 Tegn,Heading V Tegn"/>
    <w:basedOn w:val="Standardskriftforavsnitt"/>
    <w:link w:val="Overskrift1"/>
    <w:uiPriority w:val="9"/>
    <w:rsid w:val="00074422"/>
    <w:rPr>
      <w:rFonts w:asciiTheme="majorHAnsi" w:eastAsiaTheme="majorEastAsia" w:hAnsiTheme="majorHAnsi" w:cstheme="majorBidi"/>
      <w:color w:val="2E74B5" w:themeColor="accent1" w:themeShade="BF"/>
      <w:sz w:val="32"/>
      <w:szCs w:val="32"/>
    </w:rPr>
  </w:style>
  <w:style w:type="paragraph" w:styleId="Tittel">
    <w:name w:val="Title"/>
    <w:basedOn w:val="Normal"/>
    <w:next w:val="Normal"/>
    <w:link w:val="TittelTegn"/>
    <w:uiPriority w:val="10"/>
    <w:qFormat/>
    <w:rsid w:val="000744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74422"/>
    <w:rPr>
      <w:rFonts w:asciiTheme="majorHAnsi" w:eastAsiaTheme="majorEastAsia" w:hAnsiTheme="majorHAnsi" w:cstheme="majorBidi"/>
      <w:spacing w:val="-10"/>
      <w:kern w:val="28"/>
      <w:sz w:val="56"/>
      <w:szCs w:val="56"/>
    </w:rPr>
  </w:style>
  <w:style w:type="table" w:styleId="Tabellrutenett">
    <w:name w:val="Table Grid"/>
    <w:basedOn w:val="Vanligtabell"/>
    <w:rsid w:val="00074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074422"/>
    <w:rPr>
      <w:rFonts w:asciiTheme="majorHAnsi" w:eastAsiaTheme="majorEastAsia" w:hAnsiTheme="majorHAnsi" w:cstheme="majorBidi"/>
      <w:color w:val="2E74B5" w:themeColor="accent1" w:themeShade="BF"/>
      <w:sz w:val="26"/>
      <w:szCs w:val="26"/>
    </w:rPr>
  </w:style>
  <w:style w:type="paragraph" w:styleId="Topptekst">
    <w:name w:val="header"/>
    <w:basedOn w:val="Normal"/>
    <w:link w:val="TopptekstTegn"/>
    <w:unhideWhenUsed/>
    <w:rsid w:val="0007442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74422"/>
  </w:style>
  <w:style w:type="paragraph" w:styleId="Bunntekst">
    <w:name w:val="footer"/>
    <w:basedOn w:val="Normal"/>
    <w:link w:val="BunntekstTegn"/>
    <w:uiPriority w:val="99"/>
    <w:unhideWhenUsed/>
    <w:rsid w:val="0007442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74422"/>
  </w:style>
  <w:style w:type="paragraph" w:customStyle="1" w:styleId="NormalSS">
    <w:name w:val="NormalSS"/>
    <w:basedOn w:val="Normal"/>
    <w:rsid w:val="005B0DB7"/>
    <w:pPr>
      <w:spacing w:after="0" w:line="360" w:lineRule="auto"/>
      <w:ind w:left="851"/>
      <w:jc w:val="both"/>
    </w:pPr>
    <w:rPr>
      <w:rFonts w:ascii="Verdana" w:eastAsia="Times New Roman" w:hAnsi="Verdana" w:cs="Times New Roman"/>
      <w:sz w:val="20"/>
      <w:szCs w:val="20"/>
      <w:lang w:eastAsia="en-US"/>
    </w:rPr>
  </w:style>
  <w:style w:type="paragraph" w:customStyle="1" w:styleId="SSIBull1">
    <w:name w:val="SSI Bull 1"/>
    <w:basedOn w:val="Normal"/>
    <w:rsid w:val="005B0DB7"/>
    <w:pPr>
      <w:numPr>
        <w:numId w:val="6"/>
      </w:numPr>
      <w:spacing w:after="0" w:line="240" w:lineRule="auto"/>
      <w:jc w:val="both"/>
    </w:pPr>
    <w:rPr>
      <w:rFonts w:ascii="Verdana" w:eastAsia="Times New Roman" w:hAnsi="Verdana" w:cs="Times New Roman"/>
      <w:sz w:val="20"/>
      <w:szCs w:val="20"/>
      <w:lang w:eastAsia="en-US"/>
    </w:rPr>
  </w:style>
  <w:style w:type="paragraph" w:customStyle="1" w:styleId="SSIBull2">
    <w:name w:val="SSI Bull 2"/>
    <w:basedOn w:val="Normal"/>
    <w:rsid w:val="005B0DB7"/>
    <w:pPr>
      <w:numPr>
        <w:numId w:val="7"/>
      </w:numPr>
      <w:spacing w:after="0" w:line="240" w:lineRule="auto"/>
      <w:jc w:val="both"/>
    </w:pPr>
    <w:rPr>
      <w:rFonts w:ascii="Verdana" w:eastAsia="Times New Roman" w:hAnsi="Verdana" w:cs="Times New Roman"/>
      <w:sz w:val="20"/>
      <w:szCs w:val="20"/>
      <w:lang w:eastAsia="en-US"/>
    </w:rPr>
  </w:style>
  <w:style w:type="character" w:customStyle="1" w:styleId="Overskrift3Tegn">
    <w:name w:val="Overskrift 3 Tegn"/>
    <w:basedOn w:val="Standardskriftforavsnitt"/>
    <w:link w:val="Overskrift3"/>
    <w:uiPriority w:val="9"/>
    <w:rsid w:val="005B0DB7"/>
    <w:rPr>
      <w:rFonts w:asciiTheme="majorHAnsi" w:eastAsiaTheme="majorEastAsia" w:hAnsiTheme="majorHAnsi" w:cstheme="majorBidi"/>
      <w:color w:val="1F4D78" w:themeColor="accent1" w:themeShade="7F"/>
      <w:sz w:val="24"/>
      <w:szCs w:val="24"/>
    </w:rPr>
  </w:style>
  <w:style w:type="paragraph" w:styleId="Brdtekst2">
    <w:name w:val="Body Text 2"/>
    <w:basedOn w:val="Normal"/>
    <w:link w:val="Brdtekst2Tegn"/>
    <w:rsid w:val="00D15F98"/>
    <w:pPr>
      <w:tabs>
        <w:tab w:val="left" w:pos="-720"/>
      </w:tabs>
      <w:suppressAutoHyphens/>
      <w:spacing w:after="0" w:line="240" w:lineRule="auto"/>
    </w:pPr>
    <w:rPr>
      <w:rFonts w:ascii="Times New Roman" w:eastAsia="Times New Roman" w:hAnsi="Times New Roman" w:cs="Times New Roman"/>
      <w:sz w:val="24"/>
      <w:szCs w:val="20"/>
      <w:lang w:eastAsia="en-US"/>
    </w:rPr>
  </w:style>
  <w:style w:type="character" w:customStyle="1" w:styleId="Brdtekst2Tegn">
    <w:name w:val="Brødtekst 2 Tegn"/>
    <w:basedOn w:val="Standardskriftforavsnitt"/>
    <w:link w:val="Brdtekst2"/>
    <w:rsid w:val="00D15F98"/>
    <w:rPr>
      <w:rFonts w:ascii="Times New Roman" w:eastAsia="Times New Roman" w:hAnsi="Times New Roman" w:cs="Times New Roman"/>
      <w:sz w:val="24"/>
      <w:szCs w:val="20"/>
      <w:lang w:eastAsia="en-US"/>
    </w:rPr>
  </w:style>
  <w:style w:type="paragraph" w:styleId="Brdtekstinnrykk2">
    <w:name w:val="Body Text Indent 2"/>
    <w:basedOn w:val="Normal"/>
    <w:link w:val="Brdtekstinnrykk2Tegn"/>
    <w:rsid w:val="00D15F98"/>
    <w:pPr>
      <w:spacing w:after="0" w:line="240" w:lineRule="auto"/>
      <w:ind w:left="708"/>
    </w:pPr>
    <w:rPr>
      <w:rFonts w:ascii="Times New Roman" w:eastAsia="Times New Roman" w:hAnsi="Times New Roman" w:cs="Times New Roman"/>
      <w:sz w:val="24"/>
      <w:szCs w:val="20"/>
      <w:lang w:eastAsia="en-US"/>
    </w:rPr>
  </w:style>
  <w:style w:type="character" w:customStyle="1" w:styleId="Brdtekstinnrykk2Tegn">
    <w:name w:val="Brødtekstinnrykk 2 Tegn"/>
    <w:basedOn w:val="Standardskriftforavsnitt"/>
    <w:link w:val="Brdtekstinnrykk2"/>
    <w:rsid w:val="00D15F98"/>
    <w:rPr>
      <w:rFonts w:ascii="Times New Roman" w:eastAsia="Times New Roman" w:hAnsi="Times New Roman" w:cs="Times New Roman"/>
      <w:sz w:val="24"/>
      <w:szCs w:val="20"/>
      <w:lang w:eastAsia="en-US"/>
    </w:rPr>
  </w:style>
  <w:style w:type="paragraph" w:customStyle="1" w:styleId="Bullet1">
    <w:name w:val="Bullet 1"/>
    <w:basedOn w:val="Normal"/>
    <w:rsid w:val="00D15F98"/>
    <w:pPr>
      <w:numPr>
        <w:numId w:val="15"/>
      </w:numPr>
      <w:spacing w:after="0" w:line="240" w:lineRule="auto"/>
    </w:pPr>
    <w:rPr>
      <w:rFonts w:ascii="Times New Roman" w:eastAsia="Times New Roman" w:hAnsi="Times New Roman" w:cs="Times New Roman"/>
      <w:sz w:val="20"/>
      <w:szCs w:val="20"/>
      <w:lang w:eastAsia="en-US"/>
    </w:rPr>
  </w:style>
  <w:style w:type="paragraph" w:styleId="INNH1">
    <w:name w:val="toc 1"/>
    <w:basedOn w:val="Normal"/>
    <w:next w:val="Normal"/>
    <w:semiHidden/>
    <w:rsid w:val="00D15F98"/>
    <w:pPr>
      <w:tabs>
        <w:tab w:val="right" w:leader="dot" w:pos="9072"/>
      </w:tabs>
      <w:spacing w:after="0" w:line="240" w:lineRule="auto"/>
    </w:pPr>
    <w:rPr>
      <w:rFonts w:ascii="Verdana" w:eastAsia="Times New Roman" w:hAnsi="Verdana" w:cs="Times New Roman"/>
      <w:b/>
      <w:shadow/>
      <w:noProof/>
      <w:color w:val="000080"/>
      <w:sz w:val="20"/>
      <w:szCs w:val="20"/>
      <w:lang w:eastAsia="en-US"/>
    </w:rPr>
  </w:style>
  <w:style w:type="character" w:customStyle="1" w:styleId="Overskrift4Tegn">
    <w:name w:val="Overskrift 4 Tegn"/>
    <w:basedOn w:val="Standardskriftforavsnitt"/>
    <w:link w:val="Overskrift4"/>
    <w:uiPriority w:val="9"/>
    <w:rsid w:val="00CC69FC"/>
    <w:rPr>
      <w:rFonts w:asciiTheme="majorHAnsi" w:eastAsiaTheme="majorEastAsia" w:hAnsiTheme="majorHAnsi" w:cstheme="majorBidi"/>
      <w:i/>
      <w:iCs/>
      <w:color w:val="2E74B5" w:themeColor="accent1" w:themeShade="BF"/>
    </w:rPr>
  </w:style>
  <w:style w:type="character" w:styleId="Hyperkobling">
    <w:name w:val="Hyperlink"/>
    <w:basedOn w:val="Standardskriftforavsnitt"/>
    <w:uiPriority w:val="99"/>
    <w:unhideWhenUsed/>
    <w:rsid w:val="00A07367"/>
    <w:rPr>
      <w:color w:val="0563C1" w:themeColor="hyperlink"/>
      <w:u w:val="single"/>
    </w:rPr>
  </w:style>
  <w:style w:type="paragraph" w:styleId="Listeavsnitt">
    <w:name w:val="List Paragraph"/>
    <w:basedOn w:val="Normal"/>
    <w:uiPriority w:val="34"/>
    <w:qFormat/>
    <w:rsid w:val="003D3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653</Words>
  <Characters>3463</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Datatilsynet</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Martha Eike</dc:creator>
  <cp:keywords/>
  <dc:description/>
  <cp:lastModifiedBy>Guro Skåltveit</cp:lastModifiedBy>
  <cp:revision>3</cp:revision>
  <dcterms:created xsi:type="dcterms:W3CDTF">2018-10-29T11:41:00Z</dcterms:created>
  <dcterms:modified xsi:type="dcterms:W3CDTF">2018-10-30T09:13:00Z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sering">
    <vt:lpwstr>DT_Class_Yellow</vt:lpwstr>
  </property>
</Properties>
</file>